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25673" w:rsidRPr="00A046ED" w:rsidRDefault="00261CC2">
      <w:pPr>
        <w:tabs>
          <w:tab w:val="left" w:pos="2250"/>
          <w:tab w:val="left" w:pos="6521"/>
        </w:tabs>
        <w:spacing w:line="240" w:lineRule="atLeast"/>
        <w:rPr>
          <w:rFonts w:cs="Arial"/>
          <w:sz w:val="18"/>
        </w:rPr>
      </w:pPr>
      <w:r w:rsidRPr="00A046ED">
        <w:rPr>
          <w:rFonts w:cs="Arial"/>
          <w:noProof/>
          <w:lang w:eastAsia="fr-CA"/>
        </w:rPr>
        <w:drawing>
          <wp:inline distT="0" distB="0" distL="0" distR="0">
            <wp:extent cx="1438275" cy="676275"/>
            <wp:effectExtent l="19050" t="0" r="9525" b="0"/>
            <wp:docPr id="1" name="Image 1" descr="UMn_p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Mn_pp"/>
                    <pic:cNvPicPr>
                      <a:picLocks noChangeAspect="1" noChangeArrowheads="1"/>
                    </pic:cNvPicPr>
                  </pic:nvPicPr>
                  <pic:blipFill>
                    <a:blip r:embed="rId7" cstate="print"/>
                    <a:srcRect/>
                    <a:stretch>
                      <a:fillRect/>
                    </a:stretch>
                  </pic:blipFill>
                  <pic:spPr bwMode="auto">
                    <a:xfrm>
                      <a:off x="0" y="0"/>
                      <a:ext cx="1438275" cy="676275"/>
                    </a:xfrm>
                    <a:prstGeom prst="rect">
                      <a:avLst/>
                    </a:prstGeom>
                    <a:noFill/>
                    <a:ln w="9525">
                      <a:noFill/>
                      <a:miter lim="800000"/>
                      <a:headEnd/>
                      <a:tailEnd/>
                    </a:ln>
                  </pic:spPr>
                </pic:pic>
              </a:graphicData>
            </a:graphic>
          </wp:inline>
        </w:drawing>
      </w:r>
      <w:r w:rsidR="00625673" w:rsidRPr="00A046ED">
        <w:rPr>
          <w:rFonts w:cs="Arial"/>
          <w:b/>
          <w:sz w:val="18"/>
        </w:rPr>
        <w:t>Faculté des arts et des sciences</w:t>
      </w:r>
    </w:p>
    <w:p w:rsidR="00625673" w:rsidRPr="00A046ED" w:rsidRDefault="00625673">
      <w:pPr>
        <w:pStyle w:val="Retraitcorpsdetexte"/>
        <w:rPr>
          <w:rFonts w:ascii="Arial" w:hAnsi="Arial" w:cs="Arial"/>
          <w:sz w:val="24"/>
          <w:lang w:val="fr-CA"/>
        </w:rPr>
      </w:pPr>
      <w:r w:rsidRPr="00A046ED">
        <w:rPr>
          <w:rFonts w:ascii="Arial" w:hAnsi="Arial" w:cs="Arial"/>
          <w:sz w:val="18"/>
          <w:lang w:val="fr-CA"/>
        </w:rPr>
        <w:t>Département de sciences économiques</w:t>
      </w:r>
    </w:p>
    <w:p w:rsidR="00625673" w:rsidRPr="00A046ED" w:rsidRDefault="00625673">
      <w:pPr>
        <w:tabs>
          <w:tab w:val="center" w:pos="5245"/>
        </w:tabs>
        <w:rPr>
          <w:rFonts w:cs="Arial"/>
          <w:smallCaps/>
        </w:rPr>
      </w:pPr>
    </w:p>
    <w:p w:rsidR="00625673" w:rsidRPr="00A046ED" w:rsidRDefault="00625673">
      <w:pPr>
        <w:tabs>
          <w:tab w:val="center" w:pos="5245"/>
        </w:tabs>
        <w:rPr>
          <w:rFonts w:cs="Arial"/>
          <w:smallCaps/>
        </w:rPr>
      </w:pPr>
    </w:p>
    <w:p w:rsidR="00625673" w:rsidRPr="00A046ED" w:rsidRDefault="00625673">
      <w:pPr>
        <w:tabs>
          <w:tab w:val="center" w:pos="5245"/>
        </w:tabs>
        <w:jc w:val="center"/>
        <w:rPr>
          <w:rFonts w:cs="Arial"/>
          <w:b/>
          <w:smallCaps/>
          <w:sz w:val="40"/>
        </w:rPr>
      </w:pPr>
      <w:r w:rsidRPr="00A046ED">
        <w:rPr>
          <w:rFonts w:cs="Arial"/>
          <w:b/>
          <w:smallCaps/>
          <w:sz w:val="48"/>
        </w:rPr>
        <w:t>PLAN DE COURS</w:t>
      </w:r>
    </w:p>
    <w:p w:rsidR="00625673" w:rsidRPr="00A046ED" w:rsidRDefault="00625673">
      <w:pPr>
        <w:tabs>
          <w:tab w:val="center" w:pos="5245"/>
        </w:tabs>
        <w:rPr>
          <w:rFonts w:cs="Arial"/>
          <w:smallCaps/>
        </w:rPr>
      </w:pPr>
    </w:p>
    <w:tbl>
      <w:tblPr>
        <w:tblW w:w="10915" w:type="dxa"/>
        <w:tblInd w:w="70" w:type="dxa"/>
        <w:tblBorders>
          <w:top w:val="single" w:sz="24" w:space="0" w:color="auto"/>
          <w:bottom w:val="single" w:sz="24" w:space="0" w:color="auto"/>
          <w:insideV w:val="dotted" w:sz="4" w:space="0" w:color="auto"/>
        </w:tblBorders>
        <w:tblLayout w:type="fixed"/>
        <w:tblCellMar>
          <w:left w:w="70" w:type="dxa"/>
          <w:right w:w="70" w:type="dxa"/>
        </w:tblCellMar>
        <w:tblLook w:val="0000" w:firstRow="0" w:lastRow="0" w:firstColumn="0" w:lastColumn="0" w:noHBand="0" w:noVBand="0"/>
      </w:tblPr>
      <w:tblGrid>
        <w:gridCol w:w="10915"/>
      </w:tblGrid>
      <w:tr w:rsidR="00625673" w:rsidRPr="00845AA7" w:rsidTr="002A5DE6">
        <w:trPr>
          <w:trHeight w:val="723"/>
        </w:trPr>
        <w:tc>
          <w:tcPr>
            <w:tcW w:w="10915" w:type="dxa"/>
            <w:tcBorders>
              <w:top w:val="single" w:sz="24" w:space="0" w:color="auto"/>
              <w:bottom w:val="dotted" w:sz="4" w:space="0" w:color="auto"/>
            </w:tcBorders>
            <w:vAlign w:val="center"/>
          </w:tcPr>
          <w:p w:rsidR="00625673" w:rsidRPr="00A046ED" w:rsidRDefault="00625673">
            <w:pPr>
              <w:tabs>
                <w:tab w:val="center" w:pos="5245"/>
                <w:tab w:val="right" w:pos="10750"/>
              </w:tabs>
              <w:rPr>
                <w:rFonts w:cs="Arial"/>
                <w:b/>
                <w:sz w:val="16"/>
              </w:rPr>
            </w:pPr>
          </w:p>
          <w:p w:rsidR="00C9683F" w:rsidRPr="00845AA7" w:rsidRDefault="0051489F" w:rsidP="0051489F">
            <w:pPr>
              <w:tabs>
                <w:tab w:val="center" w:pos="5245"/>
                <w:tab w:val="right" w:pos="10750"/>
              </w:tabs>
              <w:rPr>
                <w:rFonts w:cs="Arial"/>
                <w:b/>
                <w:smallCaps/>
              </w:rPr>
            </w:pPr>
            <w:r w:rsidRPr="00845AA7">
              <w:rPr>
                <w:rFonts w:cs="Arial"/>
                <w:b/>
                <w:noProof/>
              </w:rPr>
              <w:t>ECN</w:t>
            </w:r>
            <w:r w:rsidR="0020596A" w:rsidRPr="00845AA7">
              <w:rPr>
                <w:rFonts w:cs="Arial"/>
                <w:b/>
                <w:noProof/>
              </w:rPr>
              <w:t xml:space="preserve"> </w:t>
            </w:r>
            <w:r w:rsidR="00845AA7" w:rsidRPr="00845AA7">
              <w:rPr>
                <w:rFonts w:cs="Arial"/>
                <w:b/>
                <w:noProof/>
              </w:rPr>
              <w:t>625</w:t>
            </w:r>
            <w:r w:rsidR="00D34926" w:rsidRPr="00845AA7">
              <w:rPr>
                <w:rFonts w:cs="Arial"/>
                <w:b/>
                <w:noProof/>
              </w:rPr>
              <w:t>8</w:t>
            </w:r>
            <w:r w:rsidR="00A92738" w:rsidRPr="00845AA7">
              <w:rPr>
                <w:rFonts w:cs="Arial"/>
                <w:b/>
                <w:noProof/>
              </w:rPr>
              <w:t>A</w:t>
            </w:r>
            <w:r w:rsidR="00625673" w:rsidRPr="00845AA7">
              <w:rPr>
                <w:rFonts w:cs="Arial"/>
              </w:rPr>
              <w:tab/>
            </w:r>
            <w:r w:rsidR="0006580A" w:rsidRPr="00845AA7">
              <w:rPr>
                <w:rFonts w:cs="Arial"/>
                <w:smallCaps/>
              </w:rPr>
              <w:tab/>
            </w:r>
            <w:r w:rsidR="00E8454F" w:rsidRPr="00845AA7">
              <w:rPr>
                <w:rFonts w:cs="Arial"/>
                <w:smallCaps/>
              </w:rPr>
              <w:t>Hiver</w:t>
            </w:r>
            <w:r w:rsidR="00C27733" w:rsidRPr="00845AA7">
              <w:rPr>
                <w:rFonts w:cs="Arial"/>
                <w:smallCaps/>
              </w:rPr>
              <w:t xml:space="preserve"> 20</w:t>
            </w:r>
            <w:r w:rsidR="00B95422">
              <w:rPr>
                <w:rFonts w:cs="Arial"/>
                <w:smallCaps/>
              </w:rPr>
              <w:t>20</w:t>
            </w:r>
            <w:r w:rsidR="00625673" w:rsidRPr="00845AA7">
              <w:rPr>
                <w:rFonts w:cs="Arial"/>
                <w:b/>
                <w:smallCaps/>
              </w:rPr>
              <w:tab/>
            </w:r>
            <w:r w:rsidR="00845AA7" w:rsidRPr="00845AA7">
              <w:rPr>
                <w:rFonts w:cs="Arial"/>
                <w:b/>
                <w:smallCaps/>
              </w:rPr>
              <w:t xml:space="preserve">Sujets spéciaux </w:t>
            </w:r>
            <w:r w:rsidR="00E15CF1">
              <w:rPr>
                <w:rFonts w:cs="Arial"/>
                <w:b/>
                <w:smallCaps/>
              </w:rPr>
              <w:t>en</w:t>
            </w:r>
            <w:r w:rsidR="00845AA7" w:rsidRPr="00845AA7">
              <w:rPr>
                <w:rFonts w:cs="Arial"/>
                <w:b/>
                <w:smallCaps/>
              </w:rPr>
              <w:t xml:space="preserve"> monnaie, banques et marchés</w:t>
            </w:r>
            <w:r w:rsidR="00625673" w:rsidRPr="00845AA7">
              <w:rPr>
                <w:rFonts w:cs="Arial"/>
                <w:smallCaps/>
              </w:rPr>
              <w:tab/>
            </w:r>
            <w:r w:rsidR="00AD44F6" w:rsidRPr="00845AA7">
              <w:rPr>
                <w:rFonts w:cs="Arial"/>
                <w:smallCaps/>
                <w:sz w:val="20"/>
                <w:szCs w:val="20"/>
              </w:rPr>
              <w:t xml:space="preserve">3 </w:t>
            </w:r>
            <w:proofErr w:type="spellStart"/>
            <w:r w:rsidR="00AD44F6" w:rsidRPr="00845AA7">
              <w:rPr>
                <w:rFonts w:cs="Arial"/>
                <w:smallCaps/>
                <w:sz w:val="20"/>
                <w:szCs w:val="20"/>
              </w:rPr>
              <w:t>cr</w:t>
            </w:r>
            <w:proofErr w:type="spellEnd"/>
            <w:r w:rsidR="00AD44F6" w:rsidRPr="00845AA7">
              <w:rPr>
                <w:rFonts w:cs="Arial"/>
                <w:smallCaps/>
              </w:rPr>
              <w:t>.</w:t>
            </w:r>
          </w:p>
          <w:p w:rsidR="00625673" w:rsidRPr="00845AA7" w:rsidRDefault="00625673">
            <w:pPr>
              <w:tabs>
                <w:tab w:val="center" w:pos="5245"/>
                <w:tab w:val="right" w:pos="10750"/>
              </w:tabs>
              <w:rPr>
                <w:rFonts w:cs="Arial"/>
                <w:b/>
                <w:sz w:val="16"/>
              </w:rPr>
            </w:pPr>
          </w:p>
        </w:tc>
      </w:tr>
      <w:tr w:rsidR="00625673" w:rsidRPr="00A046ED" w:rsidTr="002A5DE6">
        <w:tc>
          <w:tcPr>
            <w:tcW w:w="10915" w:type="dxa"/>
            <w:tcBorders>
              <w:top w:val="dotted" w:sz="4" w:space="0" w:color="auto"/>
              <w:bottom w:val="dotted" w:sz="4" w:space="0" w:color="auto"/>
            </w:tcBorders>
          </w:tcPr>
          <w:p w:rsidR="0035191D" w:rsidRPr="00845AA7" w:rsidRDefault="0035191D" w:rsidP="0035191D">
            <w:pPr>
              <w:tabs>
                <w:tab w:val="center" w:pos="5245"/>
                <w:tab w:val="right" w:pos="10750"/>
              </w:tabs>
              <w:rPr>
                <w:rFonts w:cs="Arial"/>
                <w:sz w:val="20"/>
                <w:szCs w:val="20"/>
              </w:rPr>
            </w:pPr>
          </w:p>
          <w:p w:rsidR="00D34926" w:rsidRPr="00D34926" w:rsidRDefault="00D34926" w:rsidP="00D34926">
            <w:pPr>
              <w:tabs>
                <w:tab w:val="left" w:pos="2180"/>
                <w:tab w:val="right" w:pos="10750"/>
              </w:tabs>
              <w:rPr>
                <w:rFonts w:cs="Arial"/>
                <w:b/>
                <w:smallCaps/>
                <w:sz w:val="20"/>
                <w:szCs w:val="20"/>
              </w:rPr>
            </w:pPr>
            <w:r w:rsidRPr="00D34926">
              <w:rPr>
                <w:rFonts w:cs="Arial"/>
                <w:sz w:val="20"/>
                <w:szCs w:val="20"/>
              </w:rPr>
              <w:t>Professeur :</w:t>
            </w:r>
            <w:r w:rsidRPr="00D34926">
              <w:rPr>
                <w:rFonts w:cs="Arial"/>
                <w:sz w:val="20"/>
                <w:szCs w:val="20"/>
              </w:rPr>
              <w:tab/>
            </w:r>
            <w:r w:rsidR="00845AA7">
              <w:rPr>
                <w:rFonts w:cs="Arial"/>
                <w:b/>
                <w:noProof/>
                <w:sz w:val="20"/>
                <w:szCs w:val="20"/>
              </w:rPr>
              <w:t>GARCIA, René</w:t>
            </w:r>
          </w:p>
          <w:p w:rsidR="003D5947" w:rsidRPr="00D34926" w:rsidRDefault="003D5947" w:rsidP="003D5947">
            <w:pPr>
              <w:tabs>
                <w:tab w:val="left" w:pos="2180"/>
                <w:tab w:val="right" w:pos="10750"/>
              </w:tabs>
              <w:rPr>
                <w:rFonts w:cs="Arial"/>
                <w:sz w:val="20"/>
                <w:szCs w:val="20"/>
              </w:rPr>
            </w:pPr>
            <w:r w:rsidRPr="00E03971">
              <w:rPr>
                <w:rFonts w:cs="Arial"/>
                <w:sz w:val="20"/>
                <w:szCs w:val="20"/>
              </w:rPr>
              <w:t>Disponibilité :</w:t>
            </w:r>
            <w:r w:rsidRPr="00E03971">
              <w:rPr>
                <w:rFonts w:cs="Arial"/>
                <w:sz w:val="20"/>
                <w:szCs w:val="20"/>
              </w:rPr>
              <w:tab/>
            </w:r>
            <w:r w:rsidR="00AA60E9">
              <w:rPr>
                <w:rFonts w:cs="Arial"/>
                <w:sz w:val="20"/>
                <w:szCs w:val="20"/>
              </w:rPr>
              <w:t>m</w:t>
            </w:r>
            <w:r w:rsidR="009A654E" w:rsidRPr="009A654E">
              <w:rPr>
                <w:rFonts w:cs="Arial"/>
                <w:sz w:val="20"/>
                <w:szCs w:val="20"/>
              </w:rPr>
              <w:t>ardi, de 16h à 18</w:t>
            </w:r>
            <w:r w:rsidRPr="009A654E">
              <w:rPr>
                <w:rFonts w:cs="Arial"/>
                <w:sz w:val="20"/>
                <w:szCs w:val="20"/>
              </w:rPr>
              <w:t>h</w:t>
            </w:r>
            <w:r w:rsidRPr="00E03971">
              <w:rPr>
                <w:rFonts w:cs="Arial"/>
                <w:sz w:val="20"/>
                <w:szCs w:val="20"/>
              </w:rPr>
              <w:t>, lo</w:t>
            </w:r>
            <w:r w:rsidRPr="00D34926">
              <w:rPr>
                <w:rFonts w:cs="Arial"/>
                <w:sz w:val="20"/>
                <w:szCs w:val="20"/>
              </w:rPr>
              <w:t>cal C-</w:t>
            </w:r>
            <w:r>
              <w:rPr>
                <w:rFonts w:cs="Arial"/>
                <w:sz w:val="20"/>
                <w:szCs w:val="20"/>
              </w:rPr>
              <w:t>6031</w:t>
            </w:r>
          </w:p>
          <w:p w:rsidR="003D5947" w:rsidRPr="00D34926" w:rsidRDefault="003D5947" w:rsidP="003D5947">
            <w:pPr>
              <w:tabs>
                <w:tab w:val="left" w:pos="2180"/>
                <w:tab w:val="right" w:pos="10750"/>
              </w:tabs>
              <w:rPr>
                <w:rFonts w:cs="Arial"/>
                <w:sz w:val="20"/>
                <w:szCs w:val="20"/>
              </w:rPr>
            </w:pPr>
            <w:r w:rsidRPr="00D34926">
              <w:rPr>
                <w:rFonts w:cs="Arial"/>
                <w:sz w:val="20"/>
                <w:szCs w:val="20"/>
              </w:rPr>
              <w:t>Courriel :</w:t>
            </w:r>
            <w:r w:rsidRPr="00D34926">
              <w:rPr>
                <w:rFonts w:cs="Arial"/>
                <w:sz w:val="20"/>
                <w:szCs w:val="20"/>
              </w:rPr>
              <w:tab/>
            </w:r>
            <w:hyperlink r:id="rId8" w:history="1">
              <w:r w:rsidRPr="00D72F1F">
                <w:rPr>
                  <w:rStyle w:val="Lienhypertexte"/>
                  <w:rFonts w:cs="Arial"/>
                  <w:sz w:val="20"/>
                  <w:szCs w:val="20"/>
                </w:rPr>
                <w:t>rene.garcia@umontreal.ca</w:t>
              </w:r>
            </w:hyperlink>
          </w:p>
          <w:p w:rsidR="003D5947" w:rsidRPr="00D34926" w:rsidRDefault="003D5947" w:rsidP="003D5947">
            <w:pPr>
              <w:tabs>
                <w:tab w:val="left" w:pos="2180"/>
                <w:tab w:val="right" w:pos="10750"/>
              </w:tabs>
              <w:rPr>
                <w:rFonts w:cs="Arial"/>
                <w:sz w:val="20"/>
                <w:szCs w:val="20"/>
              </w:rPr>
            </w:pPr>
            <w:r w:rsidRPr="00D34926">
              <w:rPr>
                <w:rFonts w:cs="Arial"/>
                <w:sz w:val="20"/>
                <w:szCs w:val="20"/>
              </w:rPr>
              <w:t>Téléphone :</w:t>
            </w:r>
            <w:r w:rsidRPr="00D34926">
              <w:rPr>
                <w:rFonts w:cs="Arial"/>
                <w:sz w:val="20"/>
                <w:szCs w:val="20"/>
              </w:rPr>
              <w:tab/>
              <w:t>514 343-</w:t>
            </w:r>
            <w:r>
              <w:rPr>
                <w:rFonts w:cs="Arial"/>
                <w:sz w:val="20"/>
                <w:szCs w:val="20"/>
              </w:rPr>
              <w:t>6111, poste 28490</w:t>
            </w:r>
            <w:r w:rsidRPr="00D34926">
              <w:rPr>
                <w:rFonts w:cs="Arial"/>
                <w:sz w:val="20"/>
                <w:szCs w:val="20"/>
              </w:rPr>
              <w:t xml:space="preserve"> </w:t>
            </w:r>
          </w:p>
          <w:p w:rsidR="00916CEB" w:rsidRPr="001F3FDD" w:rsidRDefault="0081544B" w:rsidP="0081544B">
            <w:pPr>
              <w:tabs>
                <w:tab w:val="left" w:pos="3125"/>
              </w:tabs>
              <w:rPr>
                <w:rFonts w:cs="Arial"/>
                <w:noProof/>
                <w:sz w:val="20"/>
                <w:szCs w:val="20"/>
              </w:rPr>
            </w:pPr>
            <w:r>
              <w:rPr>
                <w:rFonts w:cs="Arial"/>
                <w:noProof/>
              </w:rPr>
              <w:tab/>
            </w:r>
          </w:p>
        </w:tc>
      </w:tr>
      <w:tr w:rsidR="00E03971" w:rsidRPr="00A046ED" w:rsidTr="0019567E">
        <w:trPr>
          <w:trHeight w:val="680"/>
        </w:trPr>
        <w:tc>
          <w:tcPr>
            <w:tcW w:w="10915" w:type="dxa"/>
            <w:tcBorders>
              <w:top w:val="dotted" w:sz="4" w:space="0" w:color="auto"/>
            </w:tcBorders>
          </w:tcPr>
          <w:p w:rsidR="00E03971" w:rsidRPr="00A046ED" w:rsidRDefault="00E03971" w:rsidP="00810F61">
            <w:pPr>
              <w:spacing w:before="120" w:after="120"/>
              <w:jc w:val="center"/>
              <w:rPr>
                <w:rFonts w:cs="Arial"/>
              </w:rPr>
            </w:pPr>
            <w:r w:rsidRPr="004640A8">
              <w:rPr>
                <w:b/>
                <w:i/>
                <w:iCs/>
                <w:color w:val="FF0000"/>
                <w:sz w:val="19"/>
                <w:szCs w:val="19"/>
              </w:rPr>
              <w:t>**** Pour connaître les dates importantes du trimestre (modification, abandon, etc.), consultez le calendrier des études :</w:t>
            </w:r>
            <w:r w:rsidRPr="004640A8">
              <w:rPr>
                <w:iCs/>
                <w:color w:val="FF0000"/>
                <w:sz w:val="19"/>
                <w:szCs w:val="19"/>
              </w:rPr>
              <w:t xml:space="preserve"> </w:t>
            </w:r>
            <w:hyperlink r:id="rId9" w:history="1">
              <w:r w:rsidRPr="004640A8">
                <w:rPr>
                  <w:rStyle w:val="Lienhypertexte"/>
                  <w:b/>
                  <w:i/>
                  <w:sz w:val="19"/>
                  <w:szCs w:val="19"/>
                </w:rPr>
                <w:t>http://fas.umontreal.ca/fileadmin/Documents/FAS/fas/Documents/Calendrier/Calendrier_2016-2017.pdf</w:t>
              </w:r>
            </w:hyperlink>
            <w:r w:rsidRPr="004640A8">
              <w:rPr>
                <w:sz w:val="19"/>
                <w:szCs w:val="19"/>
              </w:rPr>
              <w:t xml:space="preserve"> </w:t>
            </w:r>
            <w:r w:rsidRPr="004640A8">
              <w:rPr>
                <w:b/>
                <w:i/>
                <w:iCs/>
                <w:color w:val="FF0000"/>
                <w:sz w:val="19"/>
                <w:szCs w:val="19"/>
              </w:rPr>
              <w:t>****</w:t>
            </w:r>
          </w:p>
        </w:tc>
      </w:tr>
      <w:tr w:rsidR="00625673" w:rsidRPr="00A046ED">
        <w:trPr>
          <w:trHeight w:hRule="exact" w:val="20"/>
        </w:trPr>
        <w:tc>
          <w:tcPr>
            <w:tcW w:w="10915" w:type="dxa"/>
          </w:tcPr>
          <w:p w:rsidR="00625673" w:rsidRPr="00A046ED" w:rsidRDefault="0081544B" w:rsidP="0081544B">
            <w:pPr>
              <w:tabs>
                <w:tab w:val="left" w:pos="1072"/>
                <w:tab w:val="left" w:pos="6266"/>
              </w:tabs>
              <w:spacing w:before="120" w:after="120"/>
              <w:rPr>
                <w:rFonts w:cs="Arial"/>
              </w:rPr>
            </w:pPr>
            <w:r>
              <w:rPr>
                <w:rFonts w:cs="Arial"/>
              </w:rPr>
              <w:tab/>
            </w:r>
            <w:r>
              <w:rPr>
                <w:rFonts w:cs="Arial"/>
              </w:rPr>
              <w:tab/>
            </w:r>
          </w:p>
        </w:tc>
      </w:tr>
    </w:tbl>
    <w:p w:rsidR="00D34926" w:rsidRPr="00A046ED" w:rsidRDefault="00D34926" w:rsidP="00D34926">
      <w:pPr>
        <w:tabs>
          <w:tab w:val="right" w:pos="9356"/>
        </w:tabs>
        <w:spacing w:before="180"/>
        <w:jc w:val="both"/>
        <w:rPr>
          <w:rFonts w:cs="Arial"/>
          <w:bCs/>
          <w:sz w:val="18"/>
        </w:rPr>
      </w:pPr>
      <w:r w:rsidRPr="006B1BA4">
        <w:rPr>
          <w:rFonts w:cs="Arial"/>
          <w:sz w:val="18"/>
        </w:rPr>
        <w:t>Une version électronique de ce plan de cours est disponible sur Internet. On peut y accéder par la page d</w:t>
      </w:r>
      <w:r>
        <w:rPr>
          <w:rFonts w:cs="Arial"/>
          <w:sz w:val="18"/>
        </w:rPr>
        <w:t>’</w:t>
      </w:r>
      <w:r w:rsidRPr="006B1BA4">
        <w:rPr>
          <w:rFonts w:cs="Arial"/>
          <w:sz w:val="18"/>
        </w:rPr>
        <w:t>accueil du Département de sciences économiques (</w:t>
      </w:r>
      <w:hyperlink r:id="rId10" w:history="1">
        <w:r w:rsidRPr="006B1BA4">
          <w:rPr>
            <w:rStyle w:val="Lienhypertexte"/>
            <w:b/>
            <w:sz w:val="18"/>
            <w:szCs w:val="18"/>
          </w:rPr>
          <w:t>http://sceco.umontreal.ca/accueil/</w:t>
        </w:r>
      </w:hyperlink>
      <w:r w:rsidRPr="006B1BA4">
        <w:rPr>
          <w:rFonts w:cs="Arial"/>
          <w:sz w:val="18"/>
        </w:rPr>
        <w:t>). Veuillez cependant noter que les informations qui suivent peuvent faire l</w:t>
      </w:r>
      <w:r>
        <w:rPr>
          <w:rFonts w:cs="Arial"/>
          <w:sz w:val="18"/>
        </w:rPr>
        <w:t>’</w:t>
      </w:r>
      <w:r w:rsidRPr="006B1BA4">
        <w:rPr>
          <w:rFonts w:cs="Arial"/>
          <w:sz w:val="18"/>
        </w:rPr>
        <w:t>objet de modifications au cours du trimestre. Le cas échéant, le professeur vous avisera en classe ou, s</w:t>
      </w:r>
      <w:r>
        <w:rPr>
          <w:rFonts w:cs="Arial"/>
          <w:sz w:val="18"/>
        </w:rPr>
        <w:t>’</w:t>
      </w:r>
      <w:r w:rsidRPr="006B1BA4">
        <w:rPr>
          <w:rFonts w:cs="Arial"/>
          <w:sz w:val="18"/>
        </w:rPr>
        <w:t xml:space="preserve">il y a lieu, au moyen du calendrier affiché sur le site </w:t>
      </w:r>
      <w:proofErr w:type="spellStart"/>
      <w:r w:rsidRPr="006B1BA4">
        <w:rPr>
          <w:rFonts w:cs="Arial"/>
          <w:sz w:val="18"/>
        </w:rPr>
        <w:t>StudiUM</w:t>
      </w:r>
      <w:proofErr w:type="spellEnd"/>
      <w:r w:rsidRPr="006B1BA4">
        <w:rPr>
          <w:rFonts w:cs="Arial"/>
          <w:sz w:val="18"/>
        </w:rPr>
        <w:t xml:space="preserve"> du cours.</w:t>
      </w:r>
      <w:r w:rsidRPr="006B1BA4">
        <w:rPr>
          <w:rFonts w:cs="Arial"/>
          <w:bCs/>
          <w:sz w:val="18"/>
        </w:rPr>
        <w:t xml:space="preserve"> Par ailleurs, pour la présentation de vos travaux pratiques, vous trouverez notre Guide à </w:t>
      </w:r>
      <w:hyperlink r:id="rId11" w:history="1">
        <w:r w:rsidRPr="006B1BA4">
          <w:rPr>
            <w:rStyle w:val="Lienhypertexte"/>
            <w:rFonts w:cs="Arial"/>
            <w:sz w:val="18"/>
            <w:szCs w:val="18"/>
          </w:rPr>
          <w:t>http://sceco.umontreal.ca/ressources-services/ressources-formulaires/</w:t>
        </w:r>
      </w:hyperlink>
      <w:r w:rsidRPr="006B1BA4">
        <w:rPr>
          <w:sz w:val="18"/>
          <w:szCs w:val="18"/>
        </w:rPr>
        <w:t>.</w:t>
      </w:r>
    </w:p>
    <w:p w:rsidR="006C5555" w:rsidRPr="00D34926" w:rsidRDefault="006C5555" w:rsidP="003357F9">
      <w:pPr>
        <w:spacing w:line="240" w:lineRule="exact"/>
        <w:jc w:val="both"/>
        <w:rPr>
          <w:rFonts w:cs="Arial"/>
          <w:smallCaps/>
          <w:sz w:val="20"/>
          <w:szCs w:val="20"/>
          <w:bdr w:val="single" w:sz="4" w:space="0" w:color="auto"/>
        </w:rPr>
      </w:pPr>
    </w:p>
    <w:p w:rsidR="00613C38" w:rsidRDefault="00613C38" w:rsidP="0048411B">
      <w:pPr>
        <w:spacing w:line="240" w:lineRule="exact"/>
        <w:jc w:val="both"/>
        <w:rPr>
          <w:rFonts w:ascii="Arial Rounded MT Bold" w:hAnsi="Arial Rounded MT Bold"/>
          <w:smallCaps/>
          <w:sz w:val="22"/>
          <w:szCs w:val="22"/>
          <w:bdr w:val="single" w:sz="4" w:space="0" w:color="auto"/>
        </w:rPr>
      </w:pPr>
      <w:r w:rsidRPr="003F50B0">
        <w:rPr>
          <w:rFonts w:ascii="Arial Rounded MT Bold" w:hAnsi="Arial Rounded MT Bold"/>
          <w:smallCaps/>
          <w:sz w:val="22"/>
          <w:szCs w:val="22"/>
          <w:bdr w:val="single" w:sz="4" w:space="0" w:color="auto"/>
        </w:rPr>
        <w:t> </w:t>
      </w:r>
      <w:r>
        <w:rPr>
          <w:rFonts w:ascii="Arial Rounded MT Bold" w:hAnsi="Arial Rounded MT Bold"/>
          <w:smallCaps/>
          <w:sz w:val="22"/>
          <w:szCs w:val="22"/>
          <w:bdr w:val="single" w:sz="4" w:space="0" w:color="auto"/>
        </w:rPr>
        <w:t>Objectif du</w:t>
      </w:r>
      <w:r w:rsidR="001F3FDD">
        <w:rPr>
          <w:rFonts w:ascii="Arial Rounded MT Bold" w:hAnsi="Arial Rounded MT Bold"/>
          <w:smallCaps/>
          <w:sz w:val="22"/>
          <w:szCs w:val="22"/>
          <w:bdr w:val="single" w:sz="4" w:space="0" w:color="auto"/>
        </w:rPr>
        <w:t xml:space="preserve"> c</w:t>
      </w:r>
      <w:r>
        <w:rPr>
          <w:rFonts w:ascii="Arial Rounded MT Bold" w:hAnsi="Arial Rounded MT Bold"/>
          <w:smallCaps/>
          <w:sz w:val="22"/>
          <w:szCs w:val="22"/>
          <w:bdr w:val="single" w:sz="4" w:space="0" w:color="auto"/>
        </w:rPr>
        <w:t>ours</w:t>
      </w:r>
      <w:r w:rsidR="0035191D">
        <w:rPr>
          <w:rFonts w:ascii="Arial Rounded MT Bold" w:hAnsi="Arial Rounded MT Bold"/>
          <w:smallCaps/>
          <w:sz w:val="22"/>
          <w:szCs w:val="22"/>
          <w:bdr w:val="single" w:sz="4" w:space="0" w:color="auto"/>
        </w:rPr>
        <w:t> </w:t>
      </w:r>
    </w:p>
    <w:p w:rsidR="00213FCD" w:rsidRPr="00213FCD" w:rsidRDefault="00213FCD" w:rsidP="0048411B">
      <w:pPr>
        <w:spacing w:line="240" w:lineRule="exact"/>
        <w:jc w:val="both"/>
        <w:rPr>
          <w:rFonts w:cs="Arial"/>
          <w:smallCaps/>
          <w:sz w:val="22"/>
          <w:szCs w:val="22"/>
        </w:rPr>
      </w:pPr>
    </w:p>
    <w:p w:rsidR="00613C38" w:rsidRPr="00626875" w:rsidRDefault="003E3542" w:rsidP="0048411B">
      <w:pPr>
        <w:tabs>
          <w:tab w:val="left" w:pos="630"/>
        </w:tabs>
        <w:spacing w:line="240" w:lineRule="exact"/>
        <w:jc w:val="both"/>
        <w:rPr>
          <w:rFonts w:cs="Arial"/>
          <w:sz w:val="22"/>
          <w:szCs w:val="22"/>
        </w:rPr>
      </w:pPr>
      <w:r w:rsidRPr="003E3542">
        <w:rPr>
          <w:rFonts w:cs="Arial"/>
          <w:sz w:val="22"/>
          <w:szCs w:val="22"/>
        </w:rPr>
        <w:t xml:space="preserve">Le but est de fournir à l’étudiant une connaissance pratique des marchés des titres à revenus fixes ainsi que les outils de modélisation nécessaires pour travailler dans des institutions financières, notamment la Banque du Canada et les autres banques centrales, les banques commerciales et les autres acteurs connexes du secteur privé </w:t>
      </w:r>
      <w:r w:rsidR="00C53072">
        <w:rPr>
          <w:rFonts w:cs="Arial"/>
          <w:sz w:val="22"/>
          <w:szCs w:val="22"/>
        </w:rPr>
        <w:t xml:space="preserve">et du </w:t>
      </w:r>
      <w:r w:rsidRPr="003E3542">
        <w:rPr>
          <w:rFonts w:cs="Arial"/>
          <w:sz w:val="22"/>
          <w:szCs w:val="22"/>
        </w:rPr>
        <w:t>secteur public.</w:t>
      </w:r>
    </w:p>
    <w:p w:rsidR="000F5B6E" w:rsidRDefault="000F5B6E" w:rsidP="0048411B">
      <w:pPr>
        <w:spacing w:line="240" w:lineRule="exact"/>
        <w:jc w:val="both"/>
        <w:rPr>
          <w:sz w:val="22"/>
          <w:szCs w:val="22"/>
        </w:rPr>
      </w:pPr>
    </w:p>
    <w:p w:rsidR="00D34926" w:rsidRPr="00AB7262" w:rsidRDefault="00D34926" w:rsidP="0048411B">
      <w:pPr>
        <w:pStyle w:val="Titre9"/>
        <w:tabs>
          <w:tab w:val="left" w:pos="1134"/>
          <w:tab w:val="left" w:pos="1560"/>
          <w:tab w:val="left" w:leader="dot" w:pos="6610"/>
        </w:tabs>
        <w:spacing w:before="0" w:after="0" w:line="240" w:lineRule="exact"/>
        <w:jc w:val="both"/>
        <w:rPr>
          <w:rFonts w:ascii="Arial Rounded MT Bold" w:hAnsi="Arial Rounded MT Bold" w:cs="Times New Roman"/>
          <w:smallCaps/>
          <w:lang w:val="en-CA"/>
        </w:rPr>
      </w:pPr>
      <w:r>
        <w:rPr>
          <w:rFonts w:ascii="Arial Rounded MT Bold" w:hAnsi="Arial Rounded MT Bold" w:cs="Times New Roman"/>
          <w:smallCaps/>
          <w:bdr w:val="single" w:sz="4" w:space="0" w:color="auto"/>
        </w:rPr>
        <w:t> </w:t>
      </w:r>
      <w:r w:rsidR="00A70F54" w:rsidRPr="00AB7262">
        <w:rPr>
          <w:rFonts w:ascii="Arial Rounded MT Bold" w:hAnsi="Arial Rounded MT Bold" w:cs="Times New Roman"/>
          <w:smallCaps/>
          <w:bdr w:val="single" w:sz="4" w:space="0" w:color="auto"/>
          <w:lang w:val="en-CA"/>
        </w:rPr>
        <w:t xml:space="preserve">Matériel </w:t>
      </w:r>
      <w:proofErr w:type="spellStart"/>
      <w:r w:rsidR="00A70F54" w:rsidRPr="00AB7262">
        <w:rPr>
          <w:rFonts w:ascii="Arial Rounded MT Bold" w:hAnsi="Arial Rounded MT Bold" w:cs="Times New Roman"/>
          <w:smallCaps/>
          <w:bdr w:val="single" w:sz="4" w:space="0" w:color="auto"/>
          <w:lang w:val="en-CA"/>
        </w:rPr>
        <w:t>pédagogique</w:t>
      </w:r>
      <w:proofErr w:type="spellEnd"/>
      <w:r w:rsidRPr="00AB7262">
        <w:rPr>
          <w:rFonts w:ascii="Arial Rounded MT Bold" w:hAnsi="Arial Rounded MT Bold" w:cs="Times New Roman"/>
          <w:smallCaps/>
          <w:bdr w:val="single" w:sz="4" w:space="0" w:color="auto"/>
          <w:lang w:val="en-CA"/>
        </w:rPr>
        <w:t> </w:t>
      </w:r>
    </w:p>
    <w:p w:rsidR="00D34926" w:rsidRPr="00213FCD" w:rsidRDefault="00D34926" w:rsidP="00213FCD">
      <w:pPr>
        <w:pStyle w:val="Titre9"/>
        <w:tabs>
          <w:tab w:val="left" w:pos="1134"/>
          <w:tab w:val="left" w:pos="1560"/>
          <w:tab w:val="left" w:leader="dot" w:pos="6610"/>
        </w:tabs>
        <w:spacing w:before="0" w:after="0" w:line="240" w:lineRule="exact"/>
        <w:jc w:val="both"/>
        <w:rPr>
          <w:smallCaps/>
          <w:bdr w:val="single" w:sz="4" w:space="0" w:color="auto"/>
          <w:lang w:val="en-CA"/>
        </w:rPr>
      </w:pPr>
    </w:p>
    <w:p w:rsidR="00202B37" w:rsidRPr="00202B37" w:rsidRDefault="00202B37" w:rsidP="00202B37">
      <w:pPr>
        <w:jc w:val="both"/>
        <w:rPr>
          <w:b/>
          <w:sz w:val="22"/>
          <w:szCs w:val="22"/>
          <w:lang w:val="en-US"/>
        </w:rPr>
      </w:pPr>
      <w:r w:rsidRPr="00202B37">
        <w:rPr>
          <w:b/>
          <w:sz w:val="22"/>
          <w:szCs w:val="22"/>
          <w:lang w:val="en-US"/>
        </w:rPr>
        <w:t xml:space="preserve">VERONESI, Pietro, </w:t>
      </w:r>
      <w:r w:rsidRPr="00202B37">
        <w:rPr>
          <w:b/>
          <w:i/>
          <w:sz w:val="22"/>
          <w:szCs w:val="22"/>
          <w:lang w:val="en-US"/>
        </w:rPr>
        <w:t>Fixed-Income Securities, Valuation, Risk and Risk Management</w:t>
      </w:r>
      <w:r w:rsidRPr="00202B37">
        <w:rPr>
          <w:b/>
          <w:sz w:val="22"/>
          <w:szCs w:val="22"/>
          <w:lang w:val="en-US"/>
        </w:rPr>
        <w:t>, Wiley, 2009.</w:t>
      </w:r>
    </w:p>
    <w:p w:rsidR="00202B37" w:rsidRPr="00202B37" w:rsidRDefault="00202B37" w:rsidP="00202B37">
      <w:pPr>
        <w:jc w:val="both"/>
        <w:rPr>
          <w:b/>
          <w:sz w:val="22"/>
          <w:szCs w:val="22"/>
          <w:lang w:val="en-US"/>
        </w:rPr>
      </w:pPr>
    </w:p>
    <w:p w:rsidR="00202B37" w:rsidRPr="00202B37" w:rsidRDefault="00202B37" w:rsidP="00213FCD">
      <w:pPr>
        <w:jc w:val="both"/>
        <w:rPr>
          <w:sz w:val="22"/>
          <w:szCs w:val="22"/>
          <w:u w:val="single"/>
          <w:lang w:val="en-US"/>
        </w:rPr>
      </w:pPr>
      <w:proofErr w:type="spellStart"/>
      <w:r w:rsidRPr="00202B37">
        <w:rPr>
          <w:sz w:val="22"/>
          <w:szCs w:val="22"/>
          <w:u w:val="single"/>
          <w:lang w:val="en-US"/>
        </w:rPr>
        <w:t>Autres</w:t>
      </w:r>
      <w:proofErr w:type="spellEnd"/>
      <w:r w:rsidRPr="00202B37">
        <w:rPr>
          <w:sz w:val="22"/>
          <w:szCs w:val="22"/>
          <w:u w:val="single"/>
          <w:lang w:val="en-US"/>
        </w:rPr>
        <w:t xml:space="preserve"> </w:t>
      </w:r>
      <w:proofErr w:type="spellStart"/>
      <w:r w:rsidRPr="00202B37">
        <w:rPr>
          <w:sz w:val="22"/>
          <w:szCs w:val="22"/>
          <w:u w:val="single"/>
          <w:lang w:val="en-US"/>
        </w:rPr>
        <w:t>références</w:t>
      </w:r>
      <w:proofErr w:type="spellEnd"/>
      <w:r w:rsidRPr="00202B37">
        <w:rPr>
          <w:sz w:val="22"/>
          <w:szCs w:val="22"/>
          <w:u w:val="single"/>
          <w:lang w:val="en-US"/>
        </w:rPr>
        <w:t xml:space="preserve"> </w:t>
      </w:r>
      <w:proofErr w:type="spellStart"/>
      <w:r w:rsidRPr="00202B37">
        <w:rPr>
          <w:sz w:val="22"/>
          <w:szCs w:val="22"/>
          <w:u w:val="single"/>
          <w:lang w:val="en-US"/>
        </w:rPr>
        <w:t>utiles</w:t>
      </w:r>
      <w:proofErr w:type="spellEnd"/>
    </w:p>
    <w:p w:rsidR="00202B37" w:rsidRDefault="00202B37" w:rsidP="00213FCD">
      <w:pPr>
        <w:jc w:val="both"/>
        <w:rPr>
          <w:sz w:val="22"/>
          <w:szCs w:val="22"/>
          <w:lang w:val="en-US"/>
        </w:rPr>
      </w:pPr>
    </w:p>
    <w:p w:rsidR="00CD5A24" w:rsidRPr="00213FCD" w:rsidRDefault="00202B37" w:rsidP="00213FCD">
      <w:pPr>
        <w:jc w:val="both"/>
        <w:rPr>
          <w:sz w:val="22"/>
          <w:szCs w:val="22"/>
          <w:lang w:val="en-US"/>
        </w:rPr>
      </w:pPr>
      <w:r>
        <w:rPr>
          <w:sz w:val="22"/>
          <w:szCs w:val="22"/>
          <w:lang w:val="en-US"/>
        </w:rPr>
        <w:t>A</w:t>
      </w:r>
      <w:r w:rsidR="00CD5A24" w:rsidRPr="00213FCD">
        <w:rPr>
          <w:sz w:val="22"/>
          <w:szCs w:val="22"/>
          <w:lang w:val="en-US"/>
        </w:rPr>
        <w:t xml:space="preserve">NG, Andrew, </w:t>
      </w:r>
      <w:r w:rsidR="00CD5A24" w:rsidRPr="00AA60E9">
        <w:rPr>
          <w:i/>
          <w:sz w:val="22"/>
          <w:szCs w:val="22"/>
          <w:lang w:val="en-US"/>
        </w:rPr>
        <w:t xml:space="preserve">Asset </w:t>
      </w:r>
      <w:r w:rsidR="00AA60E9">
        <w:rPr>
          <w:i/>
          <w:sz w:val="22"/>
          <w:szCs w:val="22"/>
          <w:lang w:val="en-US"/>
        </w:rPr>
        <w:t>Management: A S</w:t>
      </w:r>
      <w:r w:rsidR="00CD5A24" w:rsidRPr="00AA60E9">
        <w:rPr>
          <w:i/>
          <w:sz w:val="22"/>
          <w:szCs w:val="22"/>
          <w:lang w:val="en-US"/>
        </w:rPr>
        <w:t>ystematic Approach to Factor Investing</w:t>
      </w:r>
      <w:r w:rsidR="00CD5A24" w:rsidRPr="00213FCD">
        <w:rPr>
          <w:sz w:val="22"/>
          <w:szCs w:val="22"/>
          <w:lang w:val="en-US"/>
        </w:rPr>
        <w:t>, Oxford University Press, 2014.</w:t>
      </w:r>
    </w:p>
    <w:p w:rsidR="006F7EFC" w:rsidRPr="00213FCD" w:rsidRDefault="006F7EFC" w:rsidP="00213FCD">
      <w:pPr>
        <w:jc w:val="both"/>
        <w:rPr>
          <w:sz w:val="22"/>
          <w:szCs w:val="22"/>
          <w:lang w:val="en-US"/>
        </w:rPr>
      </w:pPr>
      <w:r w:rsidRPr="00213FCD">
        <w:rPr>
          <w:sz w:val="22"/>
          <w:szCs w:val="22"/>
          <w:lang w:val="en-US"/>
        </w:rPr>
        <w:t xml:space="preserve">DIEBOLD, Francis X. and Glenn RUDEBUSCH, </w:t>
      </w:r>
      <w:r w:rsidRPr="00AA60E9">
        <w:rPr>
          <w:i/>
          <w:sz w:val="22"/>
          <w:szCs w:val="22"/>
          <w:lang w:val="en-US"/>
        </w:rPr>
        <w:t>Yield Curve Modeling and Forecasting, the Dynamic Nelson-Siegel Approach</w:t>
      </w:r>
      <w:r w:rsidRPr="00213FCD">
        <w:rPr>
          <w:sz w:val="22"/>
          <w:szCs w:val="22"/>
          <w:lang w:val="en-US"/>
        </w:rPr>
        <w:t>, Princeton University Press, 2013.</w:t>
      </w:r>
    </w:p>
    <w:p w:rsidR="00CD5A24" w:rsidRPr="00213FCD" w:rsidRDefault="00CD5A24" w:rsidP="00213FCD">
      <w:pPr>
        <w:jc w:val="both"/>
        <w:rPr>
          <w:sz w:val="22"/>
          <w:szCs w:val="22"/>
        </w:rPr>
      </w:pPr>
      <w:r w:rsidRPr="00213FCD">
        <w:rPr>
          <w:sz w:val="22"/>
          <w:szCs w:val="22"/>
        </w:rPr>
        <w:t xml:space="preserve">MISHKIN, Frederic, </w:t>
      </w:r>
      <w:r w:rsidR="00835120" w:rsidRPr="00AA60E9">
        <w:rPr>
          <w:i/>
          <w:sz w:val="22"/>
          <w:szCs w:val="22"/>
        </w:rPr>
        <w:t>Monnaie, Banque et March</w:t>
      </w:r>
      <w:r w:rsidR="008B7180" w:rsidRPr="00AA60E9">
        <w:rPr>
          <w:i/>
          <w:sz w:val="22"/>
          <w:szCs w:val="22"/>
        </w:rPr>
        <w:t>és Financiers</w:t>
      </w:r>
      <w:r w:rsidR="008B7180" w:rsidRPr="00213FCD">
        <w:rPr>
          <w:sz w:val="22"/>
          <w:szCs w:val="22"/>
        </w:rPr>
        <w:t>, 10</w:t>
      </w:r>
      <w:r w:rsidR="008B7180" w:rsidRPr="00213FCD">
        <w:rPr>
          <w:sz w:val="22"/>
          <w:szCs w:val="22"/>
          <w:vertAlign w:val="superscript"/>
        </w:rPr>
        <w:t>e</w:t>
      </w:r>
      <w:r w:rsidR="008B7180" w:rsidRPr="00213FCD">
        <w:rPr>
          <w:sz w:val="22"/>
          <w:szCs w:val="22"/>
        </w:rPr>
        <w:t xml:space="preserve"> édition, Pearson.</w:t>
      </w:r>
    </w:p>
    <w:p w:rsidR="00202B37" w:rsidRDefault="00202B37" w:rsidP="00213FCD">
      <w:pPr>
        <w:jc w:val="both"/>
        <w:rPr>
          <w:sz w:val="22"/>
          <w:szCs w:val="22"/>
        </w:rPr>
      </w:pPr>
    </w:p>
    <w:p w:rsidR="004E6589" w:rsidRPr="00AA60E9" w:rsidRDefault="004E6589" w:rsidP="00213FCD">
      <w:pPr>
        <w:jc w:val="both"/>
        <w:rPr>
          <w:sz w:val="22"/>
          <w:szCs w:val="22"/>
        </w:rPr>
      </w:pPr>
      <w:r w:rsidRPr="00AA60E9">
        <w:rPr>
          <w:sz w:val="22"/>
          <w:szCs w:val="22"/>
        </w:rPr>
        <w:t xml:space="preserve">Divers articles ou chapitres de recueils pourront être utilisés en complément de ces ouvrages de référence. </w:t>
      </w:r>
    </w:p>
    <w:p w:rsidR="002B105A" w:rsidRDefault="002B105A" w:rsidP="0048411B">
      <w:pPr>
        <w:pStyle w:val="Titre9"/>
        <w:tabs>
          <w:tab w:val="left" w:pos="1134"/>
          <w:tab w:val="left" w:pos="1560"/>
          <w:tab w:val="left" w:leader="dot" w:pos="6610"/>
        </w:tabs>
        <w:spacing w:before="0" w:after="0" w:line="240" w:lineRule="exact"/>
        <w:rPr>
          <w:smallCaps/>
          <w:bdr w:val="single" w:sz="4" w:space="0" w:color="auto"/>
        </w:rPr>
      </w:pPr>
    </w:p>
    <w:p w:rsidR="00AA60E9" w:rsidRPr="00CA2EE7" w:rsidRDefault="00AA60E9" w:rsidP="00AA60E9">
      <w:pPr>
        <w:pStyle w:val="Titre9"/>
        <w:tabs>
          <w:tab w:val="left" w:pos="1134"/>
          <w:tab w:val="left" w:pos="1560"/>
          <w:tab w:val="left" w:leader="dot" w:pos="6610"/>
        </w:tabs>
        <w:spacing w:before="0" w:after="0"/>
        <w:rPr>
          <w:rFonts w:ascii="Arial Rounded MT Bold" w:hAnsi="Arial Rounded MT Bold" w:cs="Times New Roman"/>
          <w:smallCaps/>
        </w:rPr>
      </w:pPr>
      <w:r>
        <w:rPr>
          <w:rFonts w:ascii="Arial Rounded MT Bold" w:hAnsi="Arial Rounded MT Bold" w:cs="Times New Roman"/>
          <w:smallCaps/>
          <w:bdr w:val="single" w:sz="4" w:space="0" w:color="auto"/>
        </w:rPr>
        <w:t> </w:t>
      </w:r>
      <w:r w:rsidRPr="00CA2EE7">
        <w:rPr>
          <w:rFonts w:ascii="Arial Rounded MT Bold" w:hAnsi="Arial Rounded MT Bold" w:cs="Times New Roman"/>
          <w:smallCaps/>
          <w:bdr w:val="single" w:sz="4" w:space="0" w:color="auto"/>
        </w:rPr>
        <w:t>Évaluation</w:t>
      </w:r>
      <w:r>
        <w:rPr>
          <w:rFonts w:ascii="Arial Rounded MT Bold" w:hAnsi="Arial Rounded MT Bold" w:cs="Times New Roman"/>
          <w:smallCaps/>
          <w:bdr w:val="single" w:sz="4" w:space="0" w:color="auto"/>
        </w:rPr>
        <w:t> </w:t>
      </w:r>
    </w:p>
    <w:p w:rsidR="000F5B6E" w:rsidRPr="00A60708" w:rsidRDefault="000F5B6E" w:rsidP="0048411B">
      <w:pPr>
        <w:spacing w:line="240" w:lineRule="exact"/>
        <w:rPr>
          <w:sz w:val="22"/>
          <w:szCs w:val="22"/>
        </w:rPr>
      </w:pPr>
    </w:p>
    <w:p w:rsidR="00213FCD" w:rsidRDefault="00213FCD" w:rsidP="00213FCD">
      <w:pPr>
        <w:jc w:val="both"/>
        <w:rPr>
          <w:rFonts w:cs="Arial"/>
          <w:smallCaps/>
          <w:color w:val="000080"/>
        </w:rPr>
      </w:pPr>
      <w:r w:rsidRPr="003B1DCC">
        <w:rPr>
          <w:rFonts w:cs="Arial"/>
          <w:smallCaps/>
          <w:highlight w:val="lightGray"/>
        </w:rPr>
        <w:t>Le plagiat à l</w:t>
      </w:r>
      <w:r>
        <w:rPr>
          <w:rFonts w:cs="Arial"/>
          <w:smallCaps/>
          <w:highlight w:val="lightGray"/>
        </w:rPr>
        <w:t>’</w:t>
      </w:r>
      <w:r w:rsidRPr="003B1DCC">
        <w:rPr>
          <w:rFonts w:cs="Arial"/>
          <w:smallCaps/>
          <w:highlight w:val="lightGray"/>
        </w:rPr>
        <w:t xml:space="preserve">UdeM est sanctionné par le </w:t>
      </w:r>
      <w:r w:rsidRPr="003B1DCC">
        <w:rPr>
          <w:rFonts w:cs="Arial"/>
          <w:i/>
          <w:iCs/>
          <w:smallCaps/>
          <w:highlight w:val="lightGray"/>
        </w:rPr>
        <w:t>Règlement disciplinaire sur la fraude et le plagiat concernant les étudiants</w:t>
      </w:r>
      <w:r w:rsidRPr="003B1DCC">
        <w:rPr>
          <w:rFonts w:cs="Arial"/>
          <w:smallCaps/>
          <w:highlight w:val="lightGray"/>
        </w:rPr>
        <w:t>. Pour plus de renseignements, consultez le site</w:t>
      </w:r>
      <w:r w:rsidRPr="003B1DCC">
        <w:rPr>
          <w:rFonts w:cs="Arial"/>
          <w:smallCaps/>
          <w:color w:val="000080"/>
          <w:highlight w:val="lightGray"/>
        </w:rPr>
        <w:t xml:space="preserve"> </w:t>
      </w:r>
      <w:hyperlink r:id="rId12" w:tooltip="http://www.integrite.umontreal.ca/" w:history="1">
        <w:r w:rsidRPr="003B1DCC">
          <w:rPr>
            <w:rStyle w:val="Lienhypertexte"/>
            <w:rFonts w:cs="Arial"/>
            <w:smallCaps/>
            <w:highlight w:val="lightGray"/>
          </w:rPr>
          <w:t>www.integrite.umontreal.ca</w:t>
        </w:r>
      </w:hyperlink>
      <w:r w:rsidRPr="003B1DCC">
        <w:rPr>
          <w:rFonts w:cs="Arial"/>
          <w:smallCaps/>
          <w:color w:val="000080"/>
          <w:highlight w:val="lightGray"/>
        </w:rPr>
        <w:t>.</w:t>
      </w:r>
    </w:p>
    <w:p w:rsidR="000F5B6E" w:rsidRPr="00A60708" w:rsidRDefault="000F5B6E" w:rsidP="0048411B">
      <w:pPr>
        <w:spacing w:line="240" w:lineRule="exact"/>
        <w:jc w:val="both"/>
        <w:rPr>
          <w:rFonts w:cs="Arial"/>
          <w:smallCaps/>
          <w:sz w:val="22"/>
          <w:szCs w:val="22"/>
        </w:rPr>
      </w:pPr>
    </w:p>
    <w:p w:rsidR="000F5B6E" w:rsidRDefault="00947858" w:rsidP="0048411B">
      <w:pPr>
        <w:numPr>
          <w:ilvl w:val="0"/>
          <w:numId w:val="1"/>
        </w:numPr>
        <w:tabs>
          <w:tab w:val="left" w:pos="567"/>
          <w:tab w:val="left" w:pos="1134"/>
          <w:tab w:val="left" w:pos="1560"/>
          <w:tab w:val="left" w:leader="dot" w:pos="7200"/>
        </w:tabs>
        <w:spacing w:line="240" w:lineRule="exact"/>
        <w:jc w:val="both"/>
        <w:rPr>
          <w:rFonts w:cs="Arial"/>
          <w:b/>
          <w:sz w:val="22"/>
          <w:szCs w:val="22"/>
        </w:rPr>
      </w:pPr>
      <w:r>
        <w:rPr>
          <w:rFonts w:cs="Arial"/>
          <w:sz w:val="22"/>
          <w:szCs w:val="22"/>
        </w:rPr>
        <w:lastRenderedPageBreak/>
        <w:t>Travaux pratiques</w:t>
      </w:r>
      <w:r w:rsidR="000F5B6E" w:rsidRPr="0048411B">
        <w:rPr>
          <w:rFonts w:cs="Arial"/>
          <w:sz w:val="22"/>
          <w:szCs w:val="22"/>
        </w:rPr>
        <w:tab/>
        <w:t xml:space="preserve"> </w:t>
      </w:r>
      <w:r w:rsidR="00202B37" w:rsidRPr="00390631">
        <w:rPr>
          <w:rFonts w:cs="Arial"/>
          <w:sz w:val="22"/>
          <w:szCs w:val="22"/>
        </w:rPr>
        <w:t>3</w:t>
      </w:r>
      <w:r w:rsidRPr="00390631">
        <w:rPr>
          <w:rFonts w:cs="Arial"/>
          <w:sz w:val="22"/>
          <w:szCs w:val="22"/>
        </w:rPr>
        <w:t>0</w:t>
      </w:r>
      <w:r w:rsidR="000F5B6E" w:rsidRPr="00390631">
        <w:rPr>
          <w:rFonts w:cs="Arial"/>
          <w:sz w:val="22"/>
          <w:szCs w:val="22"/>
        </w:rPr>
        <w:t> %</w:t>
      </w:r>
    </w:p>
    <w:p w:rsidR="00926276" w:rsidRPr="00390631" w:rsidRDefault="00926276" w:rsidP="0048411B">
      <w:pPr>
        <w:numPr>
          <w:ilvl w:val="0"/>
          <w:numId w:val="1"/>
        </w:numPr>
        <w:tabs>
          <w:tab w:val="left" w:pos="567"/>
          <w:tab w:val="left" w:pos="1134"/>
          <w:tab w:val="left" w:pos="1560"/>
          <w:tab w:val="left" w:leader="dot" w:pos="7200"/>
        </w:tabs>
        <w:spacing w:line="240" w:lineRule="exact"/>
        <w:jc w:val="both"/>
        <w:rPr>
          <w:rFonts w:cs="Arial"/>
          <w:sz w:val="22"/>
          <w:szCs w:val="22"/>
        </w:rPr>
      </w:pPr>
      <w:r w:rsidRPr="00390631">
        <w:rPr>
          <w:rFonts w:cs="Arial"/>
          <w:sz w:val="22"/>
          <w:szCs w:val="22"/>
        </w:rPr>
        <w:t xml:space="preserve">Examen </w:t>
      </w:r>
      <w:r w:rsidR="00390631">
        <w:rPr>
          <w:rFonts w:cs="Arial"/>
          <w:sz w:val="22"/>
          <w:szCs w:val="22"/>
        </w:rPr>
        <w:t>intra……</w:t>
      </w:r>
      <w:proofErr w:type="gramStart"/>
      <w:r w:rsidR="00390631" w:rsidRPr="00390631">
        <w:rPr>
          <w:rFonts w:cs="Arial"/>
          <w:sz w:val="22"/>
          <w:szCs w:val="22"/>
        </w:rPr>
        <w:t>…….</w:t>
      </w:r>
      <w:proofErr w:type="gramEnd"/>
      <w:r w:rsidR="00390631" w:rsidRPr="00390631">
        <w:rPr>
          <w:rFonts w:cs="Arial"/>
          <w:sz w:val="22"/>
          <w:szCs w:val="22"/>
        </w:rPr>
        <w:t>.</w:t>
      </w:r>
      <w:r w:rsidR="00390631">
        <w:rPr>
          <w:rFonts w:cs="Arial"/>
          <w:sz w:val="22"/>
          <w:szCs w:val="22"/>
        </w:rPr>
        <w:t>…</w:t>
      </w:r>
      <w:r w:rsidR="00202B37" w:rsidRPr="00390631">
        <w:rPr>
          <w:rFonts w:cs="Arial"/>
          <w:sz w:val="22"/>
          <w:szCs w:val="22"/>
        </w:rPr>
        <w:t>……………………………………………………30%</w:t>
      </w:r>
    </w:p>
    <w:p w:rsidR="000F5B6E" w:rsidRPr="0048411B" w:rsidRDefault="00202B37" w:rsidP="0048411B">
      <w:pPr>
        <w:numPr>
          <w:ilvl w:val="0"/>
          <w:numId w:val="1"/>
        </w:numPr>
        <w:tabs>
          <w:tab w:val="left" w:pos="567"/>
          <w:tab w:val="left" w:pos="1134"/>
          <w:tab w:val="left" w:pos="1560"/>
          <w:tab w:val="left" w:leader="dot" w:pos="7200"/>
        </w:tabs>
        <w:spacing w:line="240" w:lineRule="exact"/>
        <w:jc w:val="both"/>
        <w:rPr>
          <w:rFonts w:cs="Arial"/>
          <w:b/>
          <w:sz w:val="22"/>
          <w:szCs w:val="22"/>
        </w:rPr>
      </w:pPr>
      <w:r>
        <w:rPr>
          <w:rFonts w:cs="Arial"/>
          <w:sz w:val="22"/>
          <w:szCs w:val="22"/>
        </w:rPr>
        <w:t xml:space="preserve">Examen final </w:t>
      </w:r>
      <w:r w:rsidR="000F5B6E" w:rsidRPr="0048411B">
        <w:rPr>
          <w:rFonts w:cs="Arial"/>
          <w:sz w:val="22"/>
          <w:szCs w:val="22"/>
        </w:rPr>
        <w:tab/>
      </w:r>
      <w:r w:rsidR="000F5B6E" w:rsidRPr="00390631">
        <w:rPr>
          <w:rFonts w:cs="Arial"/>
          <w:sz w:val="22"/>
          <w:szCs w:val="22"/>
        </w:rPr>
        <w:t xml:space="preserve"> </w:t>
      </w:r>
      <w:r w:rsidRPr="00390631">
        <w:rPr>
          <w:rFonts w:cs="Arial"/>
          <w:sz w:val="22"/>
          <w:szCs w:val="22"/>
        </w:rPr>
        <w:t>4</w:t>
      </w:r>
      <w:r w:rsidR="00947858" w:rsidRPr="00390631">
        <w:rPr>
          <w:rFonts w:cs="Arial"/>
          <w:sz w:val="22"/>
          <w:szCs w:val="22"/>
        </w:rPr>
        <w:t>0</w:t>
      </w:r>
      <w:r w:rsidR="000F5B6E" w:rsidRPr="00390631">
        <w:rPr>
          <w:rFonts w:cs="Arial"/>
          <w:sz w:val="22"/>
          <w:szCs w:val="22"/>
        </w:rPr>
        <w:t> %</w:t>
      </w:r>
    </w:p>
    <w:p w:rsidR="001F3FDD" w:rsidRDefault="001F3FDD">
      <w:pPr>
        <w:rPr>
          <w:rFonts w:cs="Arial"/>
          <w:sz w:val="22"/>
          <w:szCs w:val="22"/>
        </w:rPr>
      </w:pPr>
    </w:p>
    <w:p w:rsidR="001F3FDD" w:rsidRPr="00B954EA" w:rsidRDefault="001F3FDD" w:rsidP="0048411B">
      <w:pPr>
        <w:widowControl w:val="0"/>
        <w:pBdr>
          <w:top w:val="single" w:sz="4" w:space="1" w:color="auto"/>
          <w:left w:val="single" w:sz="4" w:space="4" w:color="auto"/>
          <w:bottom w:val="single" w:sz="4" w:space="1" w:color="auto"/>
          <w:right w:val="single" w:sz="4" w:space="4" w:color="auto"/>
        </w:pBdr>
        <w:spacing w:line="240" w:lineRule="exact"/>
        <w:jc w:val="both"/>
        <w:rPr>
          <w:rFonts w:cs="Arial"/>
          <w:sz w:val="22"/>
          <w:szCs w:val="22"/>
        </w:rPr>
      </w:pPr>
      <w:r w:rsidRPr="006E28CC">
        <w:rPr>
          <w:rFonts w:cs="Arial"/>
          <w:sz w:val="22"/>
          <w:szCs w:val="22"/>
        </w:rPr>
        <w:t>Selon le règlement pédagogique (article 9.9 reproduit ci-dessous), l</w:t>
      </w:r>
      <w:r>
        <w:rPr>
          <w:rFonts w:cs="Arial"/>
          <w:sz w:val="22"/>
          <w:szCs w:val="22"/>
        </w:rPr>
        <w:t>’</w:t>
      </w:r>
      <w:r w:rsidRPr="006E28CC">
        <w:rPr>
          <w:rFonts w:cs="Arial"/>
          <w:sz w:val="22"/>
          <w:szCs w:val="22"/>
        </w:rPr>
        <w:t>étudiant doit motiver toute absence à une évaluation; pour ce faire, il faut s</w:t>
      </w:r>
      <w:r>
        <w:rPr>
          <w:rFonts w:cs="Arial"/>
          <w:sz w:val="22"/>
          <w:szCs w:val="22"/>
        </w:rPr>
        <w:t>’</w:t>
      </w:r>
      <w:r w:rsidRPr="006E28CC">
        <w:rPr>
          <w:rFonts w:cs="Arial"/>
          <w:sz w:val="22"/>
          <w:szCs w:val="22"/>
        </w:rPr>
        <w:t>adresser au Secrétariat de son département</w:t>
      </w:r>
      <w:r>
        <w:rPr>
          <w:rFonts w:cs="Arial"/>
          <w:sz w:val="22"/>
          <w:szCs w:val="22"/>
        </w:rPr>
        <w:t xml:space="preserve"> </w:t>
      </w:r>
      <w:r w:rsidRPr="00B954EA">
        <w:rPr>
          <w:rFonts w:cs="Arial"/>
          <w:sz w:val="22"/>
          <w:szCs w:val="22"/>
        </w:rPr>
        <w:t>d</w:t>
      </w:r>
      <w:r>
        <w:rPr>
          <w:rFonts w:cs="Arial"/>
          <w:sz w:val="22"/>
          <w:szCs w:val="22"/>
        </w:rPr>
        <w:t>’</w:t>
      </w:r>
      <w:r w:rsidRPr="00B954EA">
        <w:rPr>
          <w:rFonts w:cs="Arial"/>
          <w:sz w:val="22"/>
          <w:szCs w:val="22"/>
        </w:rPr>
        <w:t>attache et non pas au profes</w:t>
      </w:r>
      <w:r>
        <w:rPr>
          <w:rFonts w:cs="Arial"/>
          <w:sz w:val="22"/>
          <w:szCs w:val="22"/>
        </w:rPr>
        <w:t xml:space="preserve">seur. </w:t>
      </w:r>
      <w:r w:rsidRPr="00B954EA">
        <w:rPr>
          <w:rFonts w:cs="Arial"/>
          <w:sz w:val="22"/>
          <w:szCs w:val="22"/>
        </w:rPr>
        <w:t>Seul un motif imprévu et hors du contrôle de l</w:t>
      </w:r>
      <w:r>
        <w:rPr>
          <w:rFonts w:cs="Arial"/>
          <w:sz w:val="22"/>
          <w:szCs w:val="22"/>
        </w:rPr>
        <w:t>’</w:t>
      </w:r>
      <w:r w:rsidRPr="00B954EA">
        <w:rPr>
          <w:rFonts w:cs="Arial"/>
          <w:sz w:val="22"/>
          <w:szCs w:val="22"/>
        </w:rPr>
        <w:t xml:space="preserve">étudiant peut être acceptable. </w:t>
      </w:r>
    </w:p>
    <w:p w:rsidR="000F5B6E" w:rsidRPr="00D73E0F" w:rsidRDefault="000F5B6E" w:rsidP="0048411B">
      <w:pPr>
        <w:widowControl w:val="0"/>
        <w:spacing w:line="240" w:lineRule="exact"/>
        <w:ind w:right="720"/>
        <w:jc w:val="both"/>
        <w:rPr>
          <w:rFonts w:cs="Arial"/>
          <w:i/>
          <w:sz w:val="22"/>
          <w:szCs w:val="22"/>
        </w:rPr>
      </w:pPr>
    </w:p>
    <w:p w:rsidR="0077484E" w:rsidRDefault="0077484E" w:rsidP="0077484E">
      <w:pPr>
        <w:widowControl w:val="0"/>
        <w:jc w:val="both"/>
        <w:rPr>
          <w:rFonts w:cs="Arial"/>
          <w:i/>
          <w:sz w:val="22"/>
          <w:szCs w:val="22"/>
        </w:rPr>
      </w:pPr>
      <w:r w:rsidRPr="00202D01">
        <w:rPr>
          <w:rFonts w:cs="Arial"/>
          <w:i/>
          <w:sz w:val="22"/>
          <w:szCs w:val="22"/>
        </w:rPr>
        <w:t xml:space="preserve">« L’étudiant doit motiver, par écrit, toute absence à une évaluation ou à un cours faisant l’objet d’une évaluation continue </w:t>
      </w:r>
      <w:r w:rsidRPr="00202D01">
        <w:rPr>
          <w:rFonts w:cs="Arial"/>
          <w:b/>
          <w:i/>
          <w:sz w:val="22"/>
          <w:szCs w:val="22"/>
        </w:rPr>
        <w:t>dès qu’il est en mesure de constater qu’il ne pourra être présent à une évaluation</w:t>
      </w:r>
      <w:r w:rsidRPr="00202D01">
        <w:rPr>
          <w:rFonts w:cs="Arial"/>
          <w:i/>
          <w:sz w:val="22"/>
          <w:szCs w:val="22"/>
        </w:rPr>
        <w:t xml:space="preserve"> et fournir les pièces justificatives. [...] il doit [...] </w:t>
      </w:r>
      <w:r w:rsidRPr="00202D01">
        <w:rPr>
          <w:rFonts w:cs="Arial"/>
          <w:b/>
          <w:i/>
          <w:sz w:val="22"/>
          <w:szCs w:val="22"/>
        </w:rPr>
        <w:t>fournir les pièces justificatives dans les sept jours ouvrés suivant l’absence</w:t>
      </w:r>
      <w:r w:rsidRPr="00202D01">
        <w:rPr>
          <w:rFonts w:cs="Arial"/>
          <w:i/>
          <w:sz w:val="22"/>
          <w:szCs w:val="22"/>
        </w:rPr>
        <w:t xml:space="preserve">. Le doyen ou l’autorité compétente détermine si le motif est acceptable en conformité des règles, politiques et normes applicables à l’Université. Les pièces justificatives doivent être dûment datées et signées. De plus, le </w:t>
      </w:r>
      <w:r w:rsidRPr="00202D01">
        <w:rPr>
          <w:rFonts w:cs="Arial"/>
          <w:b/>
          <w:i/>
          <w:sz w:val="22"/>
          <w:szCs w:val="22"/>
        </w:rPr>
        <w:t>certificat médical doit préciser les activités auxquelles l’état de santé interdit de participer, la date et la durée de l’absence, il doit aussi permettre l’identification du médecin</w:t>
      </w:r>
      <w:r w:rsidRPr="00202D01">
        <w:rPr>
          <w:rFonts w:cs="Arial"/>
          <w:i/>
          <w:sz w:val="22"/>
          <w:szCs w:val="22"/>
        </w:rPr>
        <w:t>. »</w:t>
      </w:r>
    </w:p>
    <w:p w:rsidR="000F5B6E" w:rsidRPr="00A60708" w:rsidRDefault="000F5B6E" w:rsidP="000F5B6E">
      <w:pPr>
        <w:spacing w:line="216" w:lineRule="auto"/>
        <w:jc w:val="both"/>
        <w:rPr>
          <w:sz w:val="22"/>
          <w:szCs w:val="22"/>
        </w:rPr>
      </w:pPr>
    </w:p>
    <w:p w:rsidR="000F5B6E" w:rsidRPr="00C04571" w:rsidRDefault="000F5B6E" w:rsidP="0048411B">
      <w:pPr>
        <w:jc w:val="both"/>
        <w:rPr>
          <w:rFonts w:ascii="Arial Rounded MT Bold" w:hAnsi="Arial Rounded MT Bold"/>
          <w:smallCaps/>
          <w:sz w:val="22"/>
        </w:rPr>
      </w:pPr>
      <w:r w:rsidRPr="000E0263">
        <w:rPr>
          <w:rFonts w:ascii="Arial Rounded MT Bold" w:hAnsi="Arial Rounded MT Bold"/>
          <w:smallCaps/>
          <w:sz w:val="22"/>
          <w:bdr w:val="single" w:sz="4" w:space="0" w:color="auto"/>
        </w:rPr>
        <w:t> </w:t>
      </w:r>
      <w:r>
        <w:rPr>
          <w:rFonts w:ascii="Arial Rounded MT Bold" w:hAnsi="Arial Rounded MT Bold"/>
          <w:smallCaps/>
          <w:sz w:val="22"/>
          <w:bdr w:val="single" w:sz="4" w:space="0" w:color="auto"/>
        </w:rPr>
        <w:t xml:space="preserve">Contenu du cours  </w:t>
      </w:r>
    </w:p>
    <w:p w:rsidR="000F5B6E" w:rsidRDefault="000F5B6E" w:rsidP="0048411B">
      <w:pPr>
        <w:tabs>
          <w:tab w:val="left" w:pos="0"/>
          <w:tab w:val="left" w:pos="540"/>
          <w:tab w:val="left" w:pos="900"/>
        </w:tabs>
        <w:spacing w:line="240" w:lineRule="exact"/>
        <w:jc w:val="both"/>
        <w:rPr>
          <w:sz w:val="22"/>
          <w:szCs w:val="22"/>
        </w:rPr>
      </w:pPr>
    </w:p>
    <w:p w:rsidR="007D51C9" w:rsidRDefault="004E6589" w:rsidP="00213FCD">
      <w:pPr>
        <w:tabs>
          <w:tab w:val="left" w:pos="0"/>
          <w:tab w:val="left" w:pos="540"/>
          <w:tab w:val="left" w:pos="900"/>
        </w:tabs>
        <w:spacing w:line="240" w:lineRule="exact"/>
        <w:jc w:val="both"/>
        <w:rPr>
          <w:sz w:val="22"/>
          <w:szCs w:val="22"/>
        </w:rPr>
      </w:pPr>
      <w:r>
        <w:rPr>
          <w:sz w:val="22"/>
          <w:szCs w:val="22"/>
        </w:rPr>
        <w:t xml:space="preserve">Le marché des obligations diffère considérablement du marché des actions. Outre le fait que ces titres offrent des flux monétaires déterministes, leur valorisation pour diverses maturités est très liée et dépend d’un facteur commun qui établit le niveau des taux à l’échéance. Ce facteur de niveau </w:t>
      </w:r>
      <w:r w:rsidR="00731EE7">
        <w:rPr>
          <w:sz w:val="22"/>
          <w:szCs w:val="22"/>
        </w:rPr>
        <w:t>capte la forte relation entre les divers taux à l’échéance des obligations d’État</w:t>
      </w:r>
      <w:r w:rsidR="00D11966">
        <w:rPr>
          <w:sz w:val="22"/>
          <w:szCs w:val="22"/>
        </w:rPr>
        <w:t xml:space="preserve">, qui bougent de conserve à la hausse ou à la baisse avec une forte corrélation avec le taux directeur de la </w:t>
      </w:r>
      <w:r w:rsidR="00DD185F">
        <w:rPr>
          <w:sz w:val="22"/>
          <w:szCs w:val="22"/>
        </w:rPr>
        <w:t>b</w:t>
      </w:r>
      <w:r w:rsidR="00D11966">
        <w:rPr>
          <w:sz w:val="22"/>
          <w:szCs w:val="22"/>
        </w:rPr>
        <w:t>anque centrale.</w:t>
      </w:r>
    </w:p>
    <w:p w:rsidR="007D51C9" w:rsidRDefault="007D51C9" w:rsidP="00213FCD">
      <w:pPr>
        <w:tabs>
          <w:tab w:val="left" w:pos="0"/>
          <w:tab w:val="left" w:pos="540"/>
          <w:tab w:val="left" w:pos="900"/>
        </w:tabs>
        <w:spacing w:line="240" w:lineRule="exact"/>
        <w:jc w:val="both"/>
        <w:rPr>
          <w:sz w:val="22"/>
          <w:szCs w:val="22"/>
        </w:rPr>
      </w:pPr>
    </w:p>
    <w:p w:rsidR="00DD185F" w:rsidRDefault="007D51C9" w:rsidP="00213FCD">
      <w:pPr>
        <w:tabs>
          <w:tab w:val="left" w:pos="0"/>
          <w:tab w:val="left" w:pos="540"/>
          <w:tab w:val="left" w:pos="900"/>
        </w:tabs>
        <w:spacing w:line="240" w:lineRule="exact"/>
        <w:jc w:val="both"/>
        <w:rPr>
          <w:sz w:val="22"/>
          <w:szCs w:val="22"/>
        </w:rPr>
      </w:pPr>
      <w:r>
        <w:rPr>
          <w:sz w:val="22"/>
          <w:szCs w:val="22"/>
        </w:rPr>
        <w:t xml:space="preserve">Nous commencerons justement par la conduite de la politique monétaire, </w:t>
      </w:r>
      <w:r w:rsidRPr="007D51C9">
        <w:rPr>
          <w:sz w:val="22"/>
          <w:szCs w:val="22"/>
        </w:rPr>
        <w:t>traditionnelle et plus récente,</w:t>
      </w:r>
      <w:r w:rsidR="007D2464">
        <w:rPr>
          <w:sz w:val="22"/>
          <w:szCs w:val="22"/>
        </w:rPr>
        <w:t xml:space="preserve"> </w:t>
      </w:r>
      <w:r>
        <w:rPr>
          <w:sz w:val="22"/>
          <w:szCs w:val="22"/>
        </w:rPr>
        <w:t xml:space="preserve">et la détermination du taux directeur. </w:t>
      </w:r>
      <w:r w:rsidR="007D2464">
        <w:rPr>
          <w:sz w:val="22"/>
          <w:szCs w:val="22"/>
        </w:rPr>
        <w:t>Nous étudierons les éléments clés de la politique monétaire canadienne, ciblage de l’inflation et le régime de changes flottants. Nous contrasterons cette politique monétaire avec la politique conduite par la banque centrale des États-Unis, l</w:t>
      </w:r>
      <w:r w:rsidR="006861E7">
        <w:rPr>
          <w:sz w:val="22"/>
          <w:szCs w:val="22"/>
        </w:rPr>
        <w:t xml:space="preserve">e </w:t>
      </w:r>
      <w:proofErr w:type="spellStart"/>
      <w:r w:rsidR="006861E7">
        <w:rPr>
          <w:sz w:val="22"/>
          <w:szCs w:val="22"/>
        </w:rPr>
        <w:t>Federal</w:t>
      </w:r>
      <w:proofErr w:type="spellEnd"/>
      <w:r w:rsidR="006861E7">
        <w:rPr>
          <w:sz w:val="22"/>
          <w:szCs w:val="22"/>
        </w:rPr>
        <w:t xml:space="preserve"> Reserve System ou Fed</w:t>
      </w:r>
      <w:r w:rsidR="007D2464">
        <w:rPr>
          <w:sz w:val="22"/>
          <w:szCs w:val="22"/>
        </w:rPr>
        <w:t xml:space="preserve">. </w:t>
      </w:r>
    </w:p>
    <w:p w:rsidR="00DD185F" w:rsidRDefault="00DD185F" w:rsidP="00213FCD">
      <w:pPr>
        <w:tabs>
          <w:tab w:val="left" w:pos="0"/>
          <w:tab w:val="left" w:pos="540"/>
          <w:tab w:val="left" w:pos="900"/>
        </w:tabs>
        <w:spacing w:line="240" w:lineRule="exact"/>
        <w:jc w:val="both"/>
        <w:rPr>
          <w:sz w:val="22"/>
          <w:szCs w:val="22"/>
        </w:rPr>
      </w:pPr>
    </w:p>
    <w:p w:rsidR="007D51C9" w:rsidRDefault="00D11966" w:rsidP="00213FCD">
      <w:pPr>
        <w:tabs>
          <w:tab w:val="left" w:pos="0"/>
          <w:tab w:val="left" w:pos="540"/>
          <w:tab w:val="left" w:pos="900"/>
        </w:tabs>
        <w:spacing w:line="240" w:lineRule="exact"/>
        <w:jc w:val="both"/>
        <w:rPr>
          <w:sz w:val="22"/>
          <w:szCs w:val="22"/>
        </w:rPr>
      </w:pPr>
      <w:r>
        <w:rPr>
          <w:sz w:val="22"/>
          <w:szCs w:val="22"/>
        </w:rPr>
        <w:t xml:space="preserve">L’exposition des obligations au facteur </w:t>
      </w:r>
      <w:r w:rsidRPr="00E44553">
        <w:rPr>
          <w:i/>
          <w:sz w:val="22"/>
          <w:szCs w:val="22"/>
        </w:rPr>
        <w:t>niveau</w:t>
      </w:r>
      <w:r>
        <w:rPr>
          <w:sz w:val="22"/>
          <w:szCs w:val="22"/>
        </w:rPr>
        <w:t xml:space="preserve"> est la duration. Il s’agit </w:t>
      </w:r>
      <w:r w:rsidR="00E44553">
        <w:rPr>
          <w:sz w:val="22"/>
          <w:szCs w:val="22"/>
        </w:rPr>
        <w:t>du bêta des obligations à des changements du niveau des taux d’intérêt. C’est le facteur le plus important. D’autres facteurs</w:t>
      </w:r>
      <w:r w:rsidR="004E6589">
        <w:rPr>
          <w:sz w:val="22"/>
          <w:szCs w:val="22"/>
        </w:rPr>
        <w:t xml:space="preserve"> </w:t>
      </w:r>
      <w:r w:rsidR="00E44553">
        <w:rPr>
          <w:sz w:val="22"/>
          <w:szCs w:val="22"/>
        </w:rPr>
        <w:t xml:space="preserve">qui influent sur le rendement </w:t>
      </w:r>
      <w:r w:rsidR="00C53072">
        <w:rPr>
          <w:sz w:val="22"/>
          <w:szCs w:val="22"/>
        </w:rPr>
        <w:t xml:space="preserve">à l’échéance </w:t>
      </w:r>
      <w:r w:rsidR="00E44553">
        <w:rPr>
          <w:sz w:val="22"/>
          <w:szCs w:val="22"/>
        </w:rPr>
        <w:t xml:space="preserve">des obligations sont la </w:t>
      </w:r>
      <w:r w:rsidR="00E44553" w:rsidRPr="00E44553">
        <w:rPr>
          <w:i/>
          <w:sz w:val="22"/>
          <w:szCs w:val="22"/>
        </w:rPr>
        <w:t>pente,</w:t>
      </w:r>
      <w:r w:rsidR="00E44553">
        <w:rPr>
          <w:sz w:val="22"/>
          <w:szCs w:val="22"/>
        </w:rPr>
        <w:t xml:space="preserve"> qui décrit les mouvements des taux longs par rapport aux taux courts, et la </w:t>
      </w:r>
      <w:r w:rsidR="00E44553" w:rsidRPr="00E44553">
        <w:rPr>
          <w:i/>
          <w:sz w:val="22"/>
          <w:szCs w:val="22"/>
        </w:rPr>
        <w:t>courbure</w:t>
      </w:r>
      <w:r w:rsidR="00E44553">
        <w:rPr>
          <w:sz w:val="22"/>
          <w:szCs w:val="22"/>
        </w:rPr>
        <w:t xml:space="preserve">, qui permet aux taux intermédiaires de varier indépendamment du niveau et de la pente. Nous verrons comment utiliser ces trois facteurs dans un modèle simple de la structure </w:t>
      </w:r>
      <w:r w:rsidR="00DD185F">
        <w:rPr>
          <w:sz w:val="22"/>
          <w:szCs w:val="22"/>
        </w:rPr>
        <w:t>à</w:t>
      </w:r>
      <w:r w:rsidR="00E44553">
        <w:rPr>
          <w:sz w:val="22"/>
          <w:szCs w:val="22"/>
        </w:rPr>
        <w:t xml:space="preserve"> terme des taux d’intérêt. </w:t>
      </w:r>
    </w:p>
    <w:p w:rsidR="007D51C9" w:rsidRDefault="007D51C9" w:rsidP="00213FCD">
      <w:pPr>
        <w:tabs>
          <w:tab w:val="left" w:pos="0"/>
          <w:tab w:val="left" w:pos="540"/>
          <w:tab w:val="left" w:pos="900"/>
        </w:tabs>
        <w:spacing w:line="240" w:lineRule="exact"/>
        <w:jc w:val="both"/>
        <w:rPr>
          <w:sz w:val="22"/>
          <w:szCs w:val="22"/>
        </w:rPr>
      </w:pPr>
    </w:p>
    <w:p w:rsidR="008D43A2" w:rsidRDefault="008D43A2" w:rsidP="00213FCD">
      <w:pPr>
        <w:tabs>
          <w:tab w:val="left" w:pos="0"/>
          <w:tab w:val="left" w:pos="540"/>
          <w:tab w:val="left" w:pos="900"/>
        </w:tabs>
        <w:spacing w:line="240" w:lineRule="exact"/>
        <w:jc w:val="both"/>
        <w:rPr>
          <w:sz w:val="22"/>
          <w:szCs w:val="22"/>
        </w:rPr>
      </w:pPr>
      <w:r>
        <w:rPr>
          <w:sz w:val="22"/>
          <w:szCs w:val="22"/>
        </w:rPr>
        <w:t>Banques commerciales et entreprises ont recours constamment aux marchés des titres à revenus fixes dans leurs activités. Elles ont besoin de gérer les risques associés aux mouvements des taux d’intérêt sur leurs emprunts et prêts respectifs. Nous décrirons les divers marchés à leur disposition et les divers mécanismes de gestion du risque sur ces divers marchés.</w:t>
      </w:r>
    </w:p>
    <w:p w:rsidR="008D43A2" w:rsidRDefault="008D43A2" w:rsidP="00213FCD">
      <w:pPr>
        <w:tabs>
          <w:tab w:val="left" w:pos="0"/>
          <w:tab w:val="left" w:pos="540"/>
          <w:tab w:val="left" w:pos="900"/>
        </w:tabs>
        <w:spacing w:line="240" w:lineRule="exact"/>
        <w:jc w:val="both"/>
        <w:rPr>
          <w:sz w:val="22"/>
          <w:szCs w:val="22"/>
        </w:rPr>
      </w:pPr>
    </w:p>
    <w:p w:rsidR="004E6589" w:rsidRDefault="008D43A2" w:rsidP="00213FCD">
      <w:pPr>
        <w:tabs>
          <w:tab w:val="left" w:pos="0"/>
          <w:tab w:val="left" w:pos="540"/>
          <w:tab w:val="left" w:pos="900"/>
        </w:tabs>
        <w:spacing w:line="240" w:lineRule="exact"/>
        <w:jc w:val="both"/>
        <w:rPr>
          <w:sz w:val="22"/>
          <w:szCs w:val="22"/>
        </w:rPr>
      </w:pPr>
      <w:r>
        <w:rPr>
          <w:sz w:val="22"/>
          <w:szCs w:val="22"/>
        </w:rPr>
        <w:t xml:space="preserve">Nous conclurons par une analyse d’un facteur important pour le fonctionnement </w:t>
      </w:r>
      <w:r w:rsidR="00EE1574">
        <w:rPr>
          <w:sz w:val="22"/>
          <w:szCs w:val="22"/>
        </w:rPr>
        <w:t>sans frictions de ces marchés, à savoir la liquidité. Nous verrons comment mesurer cette liquidité, l’exposition des divers titres à ce facteur et le rôle des banques centrales dans le maintien de cette liquidité.</w:t>
      </w:r>
      <w:r w:rsidR="006861E7">
        <w:rPr>
          <w:sz w:val="22"/>
          <w:szCs w:val="22"/>
        </w:rPr>
        <w:t xml:space="preserve"> Nous fournirons pour finir quelques notions sur Bitcoin et la monnaie digitale.</w:t>
      </w:r>
    </w:p>
    <w:p w:rsidR="00114B3B" w:rsidRDefault="00114B3B" w:rsidP="00213FCD">
      <w:pPr>
        <w:tabs>
          <w:tab w:val="left" w:pos="0"/>
          <w:tab w:val="left" w:pos="540"/>
          <w:tab w:val="left" w:pos="900"/>
        </w:tabs>
        <w:spacing w:line="240" w:lineRule="exact"/>
        <w:jc w:val="both"/>
        <w:rPr>
          <w:sz w:val="22"/>
          <w:szCs w:val="22"/>
        </w:rPr>
      </w:pPr>
    </w:p>
    <w:p w:rsidR="00FA0BC1" w:rsidRPr="00BA1237" w:rsidRDefault="00157067" w:rsidP="00CF563D">
      <w:pPr>
        <w:pStyle w:val="Paragraphedeliste"/>
        <w:numPr>
          <w:ilvl w:val="0"/>
          <w:numId w:val="12"/>
        </w:numPr>
        <w:spacing w:line="240" w:lineRule="exact"/>
        <w:jc w:val="both"/>
        <w:rPr>
          <w:sz w:val="22"/>
          <w:szCs w:val="22"/>
          <w:lang w:val="fr-FR"/>
        </w:rPr>
      </w:pPr>
      <w:r w:rsidRPr="00CF563D">
        <w:rPr>
          <w:b/>
          <w:sz w:val="22"/>
          <w:szCs w:val="22"/>
          <w:lang w:val="fr-FR"/>
        </w:rPr>
        <w:t>Introduction</w:t>
      </w:r>
      <w:r w:rsidR="00BA1237">
        <w:rPr>
          <w:b/>
          <w:sz w:val="22"/>
          <w:szCs w:val="22"/>
          <w:lang w:val="fr-FR"/>
        </w:rPr>
        <w:t xml:space="preserve"> générale</w:t>
      </w:r>
    </w:p>
    <w:p w:rsidR="00BA1237" w:rsidRPr="00BA1237" w:rsidRDefault="00BA1237" w:rsidP="00BA1237">
      <w:pPr>
        <w:pStyle w:val="Paragraphedeliste"/>
        <w:spacing w:line="240" w:lineRule="exact"/>
        <w:ind w:left="360"/>
        <w:jc w:val="both"/>
        <w:rPr>
          <w:sz w:val="22"/>
          <w:szCs w:val="22"/>
          <w:lang w:val="fr-FR"/>
        </w:rPr>
      </w:pPr>
    </w:p>
    <w:p w:rsidR="00BA1237" w:rsidRDefault="00BA1237" w:rsidP="00BA1237">
      <w:pPr>
        <w:pStyle w:val="Paragraphedeliste"/>
        <w:numPr>
          <w:ilvl w:val="1"/>
          <w:numId w:val="12"/>
        </w:numPr>
        <w:spacing w:line="240" w:lineRule="exact"/>
        <w:jc w:val="both"/>
        <w:rPr>
          <w:sz w:val="22"/>
          <w:szCs w:val="22"/>
          <w:lang w:val="fr-FR"/>
        </w:rPr>
      </w:pPr>
      <w:r>
        <w:rPr>
          <w:sz w:val="22"/>
          <w:szCs w:val="22"/>
          <w:lang w:val="fr-FR"/>
        </w:rPr>
        <w:t>Banque centrale et taux directeur</w:t>
      </w:r>
    </w:p>
    <w:p w:rsidR="00BA1237" w:rsidRDefault="00BA1237" w:rsidP="00BA1237">
      <w:pPr>
        <w:pStyle w:val="Paragraphedeliste"/>
        <w:numPr>
          <w:ilvl w:val="1"/>
          <w:numId w:val="12"/>
        </w:numPr>
        <w:spacing w:line="240" w:lineRule="exact"/>
        <w:jc w:val="both"/>
        <w:rPr>
          <w:sz w:val="22"/>
          <w:szCs w:val="22"/>
          <w:lang w:val="fr-FR"/>
        </w:rPr>
      </w:pPr>
      <w:r>
        <w:rPr>
          <w:sz w:val="22"/>
          <w:szCs w:val="22"/>
          <w:lang w:val="fr-FR"/>
        </w:rPr>
        <w:t>Obligations : valorisation, risque et rendements</w:t>
      </w:r>
    </w:p>
    <w:p w:rsidR="00BA1237" w:rsidRDefault="00BA1237" w:rsidP="00BA1237">
      <w:pPr>
        <w:pStyle w:val="Paragraphedeliste"/>
        <w:numPr>
          <w:ilvl w:val="1"/>
          <w:numId w:val="12"/>
        </w:numPr>
        <w:spacing w:line="240" w:lineRule="exact"/>
        <w:jc w:val="both"/>
        <w:rPr>
          <w:sz w:val="22"/>
          <w:szCs w:val="22"/>
          <w:lang w:val="fr-FR"/>
        </w:rPr>
      </w:pPr>
      <w:r>
        <w:rPr>
          <w:sz w:val="22"/>
          <w:szCs w:val="22"/>
          <w:lang w:val="fr-FR"/>
        </w:rPr>
        <w:t>Les modèles de la structure à terme des taux d’intérêt</w:t>
      </w:r>
    </w:p>
    <w:p w:rsidR="007D19FA" w:rsidRDefault="00E8434E" w:rsidP="00BA1237">
      <w:pPr>
        <w:pStyle w:val="Paragraphedeliste"/>
        <w:numPr>
          <w:ilvl w:val="1"/>
          <w:numId w:val="12"/>
        </w:numPr>
        <w:spacing w:line="240" w:lineRule="exact"/>
        <w:jc w:val="both"/>
        <w:rPr>
          <w:sz w:val="22"/>
          <w:szCs w:val="22"/>
          <w:lang w:val="fr-FR"/>
        </w:rPr>
      </w:pPr>
      <w:r>
        <w:rPr>
          <w:sz w:val="22"/>
          <w:szCs w:val="22"/>
          <w:lang w:val="fr-FR"/>
        </w:rPr>
        <w:t>Les marchés des titres à revenus fixe</w:t>
      </w:r>
      <w:r w:rsidR="007D19FA">
        <w:rPr>
          <w:sz w:val="22"/>
          <w:szCs w:val="22"/>
          <w:lang w:val="fr-FR"/>
        </w:rPr>
        <w:t>s</w:t>
      </w:r>
    </w:p>
    <w:p w:rsidR="00E8434E" w:rsidRDefault="007D19FA" w:rsidP="00BA1237">
      <w:pPr>
        <w:pStyle w:val="Paragraphedeliste"/>
        <w:numPr>
          <w:ilvl w:val="1"/>
          <w:numId w:val="12"/>
        </w:numPr>
        <w:spacing w:line="240" w:lineRule="exact"/>
        <w:jc w:val="both"/>
        <w:rPr>
          <w:sz w:val="22"/>
          <w:szCs w:val="22"/>
          <w:lang w:val="fr-FR"/>
        </w:rPr>
      </w:pPr>
      <w:r>
        <w:rPr>
          <w:sz w:val="22"/>
          <w:szCs w:val="22"/>
          <w:lang w:val="fr-FR"/>
        </w:rPr>
        <w:t>Gestion du risque de taux d’intérêt</w:t>
      </w:r>
      <w:r w:rsidR="00E8434E">
        <w:rPr>
          <w:sz w:val="22"/>
          <w:szCs w:val="22"/>
          <w:lang w:val="fr-FR"/>
        </w:rPr>
        <w:t xml:space="preserve"> </w:t>
      </w:r>
    </w:p>
    <w:p w:rsidR="00BA1237" w:rsidRPr="009339ED" w:rsidRDefault="00BA1237" w:rsidP="00BA1237">
      <w:pPr>
        <w:pStyle w:val="Paragraphedeliste"/>
        <w:numPr>
          <w:ilvl w:val="1"/>
          <w:numId w:val="12"/>
        </w:numPr>
        <w:spacing w:line="240" w:lineRule="exact"/>
        <w:jc w:val="both"/>
        <w:rPr>
          <w:sz w:val="22"/>
          <w:szCs w:val="22"/>
          <w:lang w:val="fr-FR"/>
        </w:rPr>
      </w:pPr>
      <w:r>
        <w:rPr>
          <w:sz w:val="22"/>
          <w:szCs w:val="22"/>
          <w:lang w:val="fr-FR"/>
        </w:rPr>
        <w:t xml:space="preserve">La crise de 2008, ses causes et ses effets </w:t>
      </w:r>
    </w:p>
    <w:p w:rsidR="009339ED" w:rsidRDefault="009339ED" w:rsidP="009339ED">
      <w:pPr>
        <w:pStyle w:val="Paragraphedeliste"/>
        <w:spacing w:line="240" w:lineRule="exact"/>
        <w:ind w:left="360"/>
        <w:jc w:val="both"/>
        <w:rPr>
          <w:sz w:val="22"/>
          <w:szCs w:val="22"/>
          <w:lang w:val="fr-FR"/>
        </w:rPr>
      </w:pPr>
    </w:p>
    <w:p w:rsidR="007D19FA" w:rsidRDefault="007D19FA" w:rsidP="009339ED">
      <w:pPr>
        <w:pStyle w:val="Paragraphedeliste"/>
        <w:spacing w:line="240" w:lineRule="exact"/>
        <w:ind w:left="360"/>
        <w:jc w:val="both"/>
        <w:rPr>
          <w:sz w:val="22"/>
          <w:szCs w:val="22"/>
          <w:lang w:val="fr-FR"/>
        </w:rPr>
      </w:pPr>
    </w:p>
    <w:p w:rsidR="007D19FA" w:rsidRPr="009339ED" w:rsidRDefault="007D19FA" w:rsidP="009339ED">
      <w:pPr>
        <w:pStyle w:val="Paragraphedeliste"/>
        <w:spacing w:line="240" w:lineRule="exact"/>
        <w:ind w:left="360"/>
        <w:jc w:val="both"/>
        <w:rPr>
          <w:sz w:val="22"/>
          <w:szCs w:val="22"/>
          <w:lang w:val="fr-FR"/>
        </w:rPr>
      </w:pPr>
    </w:p>
    <w:p w:rsidR="009339ED" w:rsidRPr="009339ED" w:rsidRDefault="009339ED" w:rsidP="009339ED">
      <w:pPr>
        <w:pStyle w:val="Paragraphedeliste"/>
        <w:numPr>
          <w:ilvl w:val="0"/>
          <w:numId w:val="12"/>
        </w:numPr>
        <w:rPr>
          <w:b/>
          <w:sz w:val="22"/>
          <w:szCs w:val="22"/>
          <w:lang w:val="fr-FR"/>
        </w:rPr>
      </w:pPr>
      <w:r w:rsidRPr="009339ED">
        <w:rPr>
          <w:b/>
          <w:sz w:val="22"/>
          <w:szCs w:val="22"/>
          <w:lang w:val="fr-FR"/>
        </w:rPr>
        <w:lastRenderedPageBreak/>
        <w:t>Inflation, politique monétaire et taux directeur</w:t>
      </w:r>
    </w:p>
    <w:p w:rsidR="009339ED" w:rsidRPr="009339ED" w:rsidRDefault="009339ED" w:rsidP="009339ED">
      <w:pPr>
        <w:rPr>
          <w:b/>
          <w:sz w:val="22"/>
          <w:szCs w:val="22"/>
          <w:lang w:val="fr-FR"/>
        </w:rPr>
      </w:pPr>
    </w:p>
    <w:p w:rsidR="009339ED" w:rsidRPr="009339ED" w:rsidRDefault="009339ED" w:rsidP="009339ED">
      <w:pPr>
        <w:pStyle w:val="Paragraphedeliste"/>
        <w:numPr>
          <w:ilvl w:val="1"/>
          <w:numId w:val="12"/>
        </w:numPr>
        <w:rPr>
          <w:sz w:val="22"/>
          <w:szCs w:val="22"/>
          <w:lang w:val="fr-FR"/>
        </w:rPr>
      </w:pPr>
      <w:r w:rsidRPr="009339ED">
        <w:rPr>
          <w:sz w:val="22"/>
          <w:szCs w:val="22"/>
          <w:lang w:val="fr-FR"/>
        </w:rPr>
        <w:t>La banque centrale</w:t>
      </w:r>
    </w:p>
    <w:p w:rsidR="009339ED" w:rsidRPr="009339ED" w:rsidRDefault="009339ED" w:rsidP="009339ED">
      <w:pPr>
        <w:pStyle w:val="Paragraphedeliste"/>
        <w:numPr>
          <w:ilvl w:val="1"/>
          <w:numId w:val="12"/>
        </w:numPr>
        <w:rPr>
          <w:sz w:val="22"/>
          <w:szCs w:val="22"/>
          <w:lang w:val="fr-FR"/>
        </w:rPr>
      </w:pPr>
      <w:r w:rsidRPr="009339ED">
        <w:rPr>
          <w:sz w:val="22"/>
          <w:szCs w:val="22"/>
          <w:lang w:val="fr-FR"/>
        </w:rPr>
        <w:t>Politique monétaire : stratégie et outils de politique monétaire</w:t>
      </w:r>
    </w:p>
    <w:p w:rsidR="009339ED" w:rsidRPr="009339ED" w:rsidRDefault="009339ED" w:rsidP="009339ED">
      <w:pPr>
        <w:pStyle w:val="Paragraphedeliste"/>
        <w:numPr>
          <w:ilvl w:val="1"/>
          <w:numId w:val="12"/>
        </w:numPr>
        <w:rPr>
          <w:sz w:val="22"/>
          <w:szCs w:val="22"/>
          <w:lang w:val="fr-FR"/>
        </w:rPr>
      </w:pPr>
      <w:r w:rsidRPr="009339ED">
        <w:rPr>
          <w:sz w:val="22"/>
          <w:szCs w:val="22"/>
          <w:lang w:val="fr-FR"/>
        </w:rPr>
        <w:t>La règle de Taylor et prévision du taux directeur</w:t>
      </w:r>
    </w:p>
    <w:p w:rsidR="009339ED" w:rsidRPr="009339ED" w:rsidRDefault="009339ED" w:rsidP="009339ED">
      <w:pPr>
        <w:pStyle w:val="Paragraphedeliste"/>
        <w:numPr>
          <w:ilvl w:val="1"/>
          <w:numId w:val="12"/>
        </w:numPr>
        <w:rPr>
          <w:sz w:val="22"/>
          <w:szCs w:val="22"/>
          <w:lang w:val="fr-FR"/>
        </w:rPr>
      </w:pPr>
      <w:r w:rsidRPr="009339ED">
        <w:rPr>
          <w:sz w:val="22"/>
          <w:szCs w:val="22"/>
          <w:lang w:val="fr-FR"/>
        </w:rPr>
        <w:t>Politique monétaire non conventionnelle</w:t>
      </w:r>
    </w:p>
    <w:p w:rsidR="009339ED" w:rsidRPr="009339ED" w:rsidRDefault="009339ED" w:rsidP="009339ED">
      <w:pPr>
        <w:pStyle w:val="Paragraphedeliste"/>
        <w:numPr>
          <w:ilvl w:val="1"/>
          <w:numId w:val="12"/>
        </w:numPr>
        <w:rPr>
          <w:sz w:val="22"/>
          <w:szCs w:val="22"/>
          <w:lang w:val="fr-FR"/>
        </w:rPr>
      </w:pPr>
      <w:r w:rsidRPr="009339ED">
        <w:rPr>
          <w:sz w:val="22"/>
          <w:szCs w:val="22"/>
          <w:lang w:val="fr-FR"/>
        </w:rPr>
        <w:t>Taux de change</w:t>
      </w:r>
    </w:p>
    <w:p w:rsidR="009339ED" w:rsidRPr="009339ED" w:rsidRDefault="009339ED" w:rsidP="009339ED">
      <w:pPr>
        <w:pStyle w:val="Paragraphedeliste"/>
        <w:numPr>
          <w:ilvl w:val="2"/>
          <w:numId w:val="12"/>
        </w:numPr>
        <w:rPr>
          <w:sz w:val="22"/>
          <w:szCs w:val="22"/>
          <w:lang w:val="fr-FR"/>
        </w:rPr>
      </w:pPr>
      <w:r w:rsidRPr="009339ED">
        <w:rPr>
          <w:sz w:val="22"/>
          <w:szCs w:val="22"/>
          <w:lang w:val="fr-FR"/>
        </w:rPr>
        <w:t>Parité des pouvoirs d’achat et limites</w:t>
      </w:r>
    </w:p>
    <w:p w:rsidR="009339ED" w:rsidRDefault="009339ED" w:rsidP="009339ED">
      <w:pPr>
        <w:pStyle w:val="Paragraphedeliste"/>
        <w:numPr>
          <w:ilvl w:val="2"/>
          <w:numId w:val="12"/>
        </w:numPr>
        <w:rPr>
          <w:sz w:val="22"/>
          <w:szCs w:val="22"/>
          <w:lang w:val="fr-FR"/>
        </w:rPr>
      </w:pPr>
      <w:r w:rsidRPr="009339ED">
        <w:rPr>
          <w:sz w:val="22"/>
          <w:szCs w:val="22"/>
          <w:lang w:val="fr-FR"/>
        </w:rPr>
        <w:t>Parité des taux d’intérêt et limites</w:t>
      </w:r>
    </w:p>
    <w:p w:rsidR="009339ED" w:rsidRPr="009339ED" w:rsidRDefault="009339ED" w:rsidP="009339ED">
      <w:pPr>
        <w:pStyle w:val="Paragraphedeliste"/>
        <w:ind w:left="1800"/>
        <w:rPr>
          <w:sz w:val="22"/>
          <w:szCs w:val="22"/>
          <w:lang w:val="fr-FR"/>
        </w:rPr>
      </w:pPr>
    </w:p>
    <w:p w:rsidR="009339ED" w:rsidRPr="009339ED" w:rsidRDefault="009339ED" w:rsidP="009339ED">
      <w:pPr>
        <w:numPr>
          <w:ilvl w:val="0"/>
          <w:numId w:val="12"/>
        </w:numPr>
        <w:rPr>
          <w:b/>
          <w:sz w:val="22"/>
          <w:szCs w:val="22"/>
          <w:lang w:val="fr-FR"/>
        </w:rPr>
      </w:pPr>
      <w:r w:rsidRPr="009339ED">
        <w:rPr>
          <w:b/>
          <w:sz w:val="22"/>
          <w:szCs w:val="22"/>
          <w:lang w:val="fr-FR"/>
        </w:rPr>
        <w:t>Titres à revenus fixes</w:t>
      </w:r>
    </w:p>
    <w:p w:rsidR="009339ED" w:rsidRPr="009339ED" w:rsidRDefault="009339ED" w:rsidP="009339ED">
      <w:pPr>
        <w:rPr>
          <w:sz w:val="22"/>
          <w:szCs w:val="22"/>
          <w:lang w:val="fr-FR"/>
        </w:rPr>
      </w:pPr>
    </w:p>
    <w:p w:rsidR="009339ED" w:rsidRPr="009339ED" w:rsidRDefault="009339ED" w:rsidP="009339ED">
      <w:pPr>
        <w:numPr>
          <w:ilvl w:val="0"/>
          <w:numId w:val="13"/>
        </w:numPr>
        <w:rPr>
          <w:sz w:val="22"/>
          <w:szCs w:val="22"/>
          <w:lang w:val="fr-FR"/>
        </w:rPr>
      </w:pPr>
      <w:r w:rsidRPr="009339ED">
        <w:rPr>
          <w:sz w:val="22"/>
          <w:szCs w:val="22"/>
          <w:lang w:val="fr-FR"/>
        </w:rPr>
        <w:t>Facteurs d’actualisation et taux d’intérêt</w:t>
      </w:r>
    </w:p>
    <w:p w:rsidR="009339ED" w:rsidRPr="009339ED" w:rsidRDefault="009339ED" w:rsidP="009339ED">
      <w:pPr>
        <w:numPr>
          <w:ilvl w:val="0"/>
          <w:numId w:val="13"/>
        </w:numPr>
        <w:rPr>
          <w:sz w:val="22"/>
          <w:szCs w:val="22"/>
          <w:lang w:val="fr-FR"/>
        </w:rPr>
      </w:pPr>
      <w:r w:rsidRPr="009339ED">
        <w:rPr>
          <w:sz w:val="22"/>
          <w:szCs w:val="22"/>
          <w:lang w:val="fr-FR"/>
        </w:rPr>
        <w:t>La structure à terme des taux d’intérêt</w:t>
      </w:r>
    </w:p>
    <w:p w:rsidR="009339ED" w:rsidRDefault="009339ED" w:rsidP="009339ED">
      <w:pPr>
        <w:numPr>
          <w:ilvl w:val="0"/>
          <w:numId w:val="13"/>
        </w:numPr>
        <w:rPr>
          <w:sz w:val="22"/>
          <w:szCs w:val="22"/>
          <w:lang w:val="fr-FR"/>
        </w:rPr>
      </w:pPr>
      <w:r w:rsidRPr="009339ED">
        <w:rPr>
          <w:sz w:val="22"/>
          <w:szCs w:val="22"/>
          <w:lang w:val="fr-FR"/>
        </w:rPr>
        <w:t>Obligations à coupons</w:t>
      </w:r>
    </w:p>
    <w:p w:rsidR="000B108C" w:rsidRDefault="000B108C" w:rsidP="009339ED">
      <w:pPr>
        <w:numPr>
          <w:ilvl w:val="0"/>
          <w:numId w:val="13"/>
        </w:numPr>
        <w:rPr>
          <w:sz w:val="22"/>
          <w:szCs w:val="22"/>
          <w:lang w:val="fr-FR"/>
        </w:rPr>
      </w:pPr>
      <w:r>
        <w:rPr>
          <w:sz w:val="22"/>
          <w:szCs w:val="22"/>
          <w:lang w:val="fr-FR"/>
        </w:rPr>
        <w:t>Obligations à taux flottant</w:t>
      </w:r>
    </w:p>
    <w:p w:rsidR="00C83748" w:rsidRPr="009339ED" w:rsidRDefault="00C83748" w:rsidP="00C83748">
      <w:pPr>
        <w:ind w:left="1069"/>
        <w:rPr>
          <w:sz w:val="22"/>
          <w:szCs w:val="22"/>
          <w:lang w:val="fr-FR"/>
        </w:rPr>
      </w:pPr>
    </w:p>
    <w:p w:rsidR="00C83748" w:rsidRPr="00C83748" w:rsidRDefault="00C83748" w:rsidP="00C83748">
      <w:pPr>
        <w:numPr>
          <w:ilvl w:val="0"/>
          <w:numId w:val="12"/>
        </w:numPr>
        <w:rPr>
          <w:b/>
          <w:sz w:val="22"/>
          <w:szCs w:val="22"/>
          <w:lang w:val="fr-FR"/>
        </w:rPr>
      </w:pPr>
      <w:r w:rsidRPr="00C83748">
        <w:rPr>
          <w:b/>
          <w:sz w:val="22"/>
          <w:szCs w:val="22"/>
          <w:lang w:val="fr-FR"/>
        </w:rPr>
        <w:t>Modèles de la structure à terme des taux d’intérêt</w:t>
      </w:r>
    </w:p>
    <w:p w:rsidR="00C83748" w:rsidRPr="00C83748" w:rsidRDefault="00C83748" w:rsidP="00C83748">
      <w:pPr>
        <w:rPr>
          <w:sz w:val="22"/>
          <w:szCs w:val="22"/>
          <w:lang w:val="fr-FR"/>
        </w:rPr>
      </w:pPr>
    </w:p>
    <w:p w:rsidR="00C83748" w:rsidRDefault="00C83748" w:rsidP="00C83748">
      <w:pPr>
        <w:numPr>
          <w:ilvl w:val="0"/>
          <w:numId w:val="21"/>
        </w:numPr>
        <w:rPr>
          <w:sz w:val="22"/>
          <w:szCs w:val="22"/>
          <w:lang w:val="fr-FR"/>
        </w:rPr>
      </w:pPr>
      <w:r w:rsidRPr="00C83748">
        <w:rPr>
          <w:sz w:val="22"/>
          <w:szCs w:val="22"/>
          <w:lang w:val="fr-FR"/>
        </w:rPr>
        <w:t>La structure par terme et absence d’arbitrage en temps discret</w:t>
      </w:r>
    </w:p>
    <w:p w:rsidR="00EE1574" w:rsidRPr="00C83748" w:rsidRDefault="00681E4A" w:rsidP="00C83748">
      <w:pPr>
        <w:numPr>
          <w:ilvl w:val="0"/>
          <w:numId w:val="21"/>
        </w:numPr>
        <w:rPr>
          <w:sz w:val="22"/>
          <w:szCs w:val="22"/>
          <w:lang w:val="fr-FR"/>
        </w:rPr>
      </w:pPr>
      <w:r>
        <w:rPr>
          <w:sz w:val="22"/>
          <w:szCs w:val="22"/>
          <w:lang w:val="fr-FR"/>
        </w:rPr>
        <w:t xml:space="preserve">Le filtre de </w:t>
      </w:r>
      <w:proofErr w:type="spellStart"/>
      <w:r>
        <w:rPr>
          <w:sz w:val="22"/>
          <w:szCs w:val="22"/>
          <w:lang w:val="fr-FR"/>
        </w:rPr>
        <w:t>Kalman</w:t>
      </w:r>
      <w:proofErr w:type="spellEnd"/>
      <w:r w:rsidR="0010486A">
        <w:rPr>
          <w:sz w:val="22"/>
          <w:szCs w:val="22"/>
          <w:lang w:val="fr-FR"/>
        </w:rPr>
        <w:t xml:space="preserve"> et estimation par maximum de vraisemblance</w:t>
      </w:r>
    </w:p>
    <w:p w:rsidR="00C83748" w:rsidRPr="00C83748" w:rsidRDefault="00C83748" w:rsidP="00C83748">
      <w:pPr>
        <w:numPr>
          <w:ilvl w:val="0"/>
          <w:numId w:val="21"/>
        </w:numPr>
        <w:rPr>
          <w:sz w:val="22"/>
          <w:szCs w:val="22"/>
          <w:lang w:val="fr-FR"/>
        </w:rPr>
      </w:pPr>
      <w:r w:rsidRPr="00C83748">
        <w:rPr>
          <w:sz w:val="22"/>
          <w:szCs w:val="22"/>
          <w:lang w:val="fr-FR"/>
        </w:rPr>
        <w:t>Modèle statique – Nelson-Siegel</w:t>
      </w:r>
    </w:p>
    <w:p w:rsidR="00C83748" w:rsidRPr="00C83748" w:rsidRDefault="00C83748" w:rsidP="00C83748">
      <w:pPr>
        <w:numPr>
          <w:ilvl w:val="0"/>
          <w:numId w:val="21"/>
        </w:numPr>
        <w:rPr>
          <w:sz w:val="22"/>
          <w:szCs w:val="22"/>
          <w:lang w:val="fr-FR"/>
        </w:rPr>
      </w:pPr>
      <w:r w:rsidRPr="00C83748">
        <w:rPr>
          <w:sz w:val="22"/>
          <w:szCs w:val="22"/>
          <w:lang w:val="fr-FR"/>
        </w:rPr>
        <w:t>Modèle dynamique – Nelson-Siegel</w:t>
      </w:r>
    </w:p>
    <w:p w:rsidR="00C83748" w:rsidRPr="00C83748" w:rsidRDefault="00C83748" w:rsidP="00C83748">
      <w:pPr>
        <w:numPr>
          <w:ilvl w:val="0"/>
          <w:numId w:val="21"/>
        </w:numPr>
        <w:rPr>
          <w:sz w:val="22"/>
          <w:szCs w:val="22"/>
          <w:lang w:val="fr-FR"/>
        </w:rPr>
      </w:pPr>
      <w:r w:rsidRPr="00C83748">
        <w:rPr>
          <w:sz w:val="22"/>
          <w:szCs w:val="22"/>
          <w:lang w:val="fr-FR"/>
        </w:rPr>
        <w:t>Modèles à facteurs avec variables macroéconomiques</w:t>
      </w:r>
    </w:p>
    <w:p w:rsidR="009339ED" w:rsidRPr="009339ED" w:rsidRDefault="009339ED" w:rsidP="009339ED">
      <w:pPr>
        <w:rPr>
          <w:sz w:val="22"/>
          <w:szCs w:val="22"/>
          <w:lang w:val="fr-FR"/>
        </w:rPr>
      </w:pPr>
    </w:p>
    <w:p w:rsidR="009339ED" w:rsidRPr="009339ED" w:rsidRDefault="009339ED" w:rsidP="009339ED">
      <w:pPr>
        <w:numPr>
          <w:ilvl w:val="0"/>
          <w:numId w:val="12"/>
        </w:numPr>
        <w:rPr>
          <w:b/>
          <w:sz w:val="22"/>
          <w:szCs w:val="22"/>
          <w:lang w:val="fr-FR"/>
        </w:rPr>
      </w:pPr>
      <w:r w:rsidRPr="009339ED">
        <w:rPr>
          <w:b/>
          <w:sz w:val="22"/>
          <w:szCs w:val="22"/>
          <w:lang w:val="fr-FR"/>
        </w:rPr>
        <w:t>Valorisation par absence d’arbitrage</w:t>
      </w:r>
    </w:p>
    <w:p w:rsidR="009339ED" w:rsidRPr="009339ED" w:rsidRDefault="009339ED" w:rsidP="009339ED">
      <w:pPr>
        <w:rPr>
          <w:sz w:val="22"/>
          <w:szCs w:val="22"/>
          <w:lang w:val="fr-FR"/>
        </w:rPr>
      </w:pPr>
    </w:p>
    <w:p w:rsidR="009339ED" w:rsidRPr="009339ED" w:rsidRDefault="009339ED" w:rsidP="009339ED">
      <w:pPr>
        <w:numPr>
          <w:ilvl w:val="0"/>
          <w:numId w:val="31"/>
        </w:numPr>
        <w:rPr>
          <w:sz w:val="22"/>
          <w:szCs w:val="22"/>
          <w:lang w:val="fr-FR"/>
        </w:rPr>
      </w:pPr>
      <w:r w:rsidRPr="009339ED">
        <w:rPr>
          <w:sz w:val="22"/>
          <w:szCs w:val="22"/>
          <w:lang w:val="fr-FR"/>
        </w:rPr>
        <w:t> </w:t>
      </w:r>
      <w:r w:rsidRPr="009339ED">
        <w:rPr>
          <w:sz w:val="22"/>
          <w:szCs w:val="22"/>
        </w:rPr>
        <w:t>Éléments de processus en temps continu</w:t>
      </w:r>
    </w:p>
    <w:p w:rsidR="009339ED" w:rsidRPr="009339ED" w:rsidRDefault="009339ED" w:rsidP="009339ED">
      <w:pPr>
        <w:numPr>
          <w:ilvl w:val="0"/>
          <w:numId w:val="31"/>
        </w:numPr>
        <w:rPr>
          <w:sz w:val="22"/>
          <w:szCs w:val="22"/>
          <w:lang w:val="fr-FR"/>
        </w:rPr>
      </w:pPr>
      <w:r w:rsidRPr="009339ED">
        <w:rPr>
          <w:sz w:val="22"/>
          <w:szCs w:val="22"/>
          <w:lang w:val="fr-FR"/>
        </w:rPr>
        <w:t>La structure par terme et absence d’arbitrage en temps continu</w:t>
      </w:r>
    </w:p>
    <w:p w:rsidR="009339ED" w:rsidRPr="009339ED" w:rsidRDefault="009339ED" w:rsidP="009339ED">
      <w:pPr>
        <w:numPr>
          <w:ilvl w:val="0"/>
          <w:numId w:val="31"/>
        </w:numPr>
        <w:rPr>
          <w:sz w:val="22"/>
          <w:szCs w:val="22"/>
          <w:lang w:val="fr-FR"/>
        </w:rPr>
      </w:pPr>
      <w:r w:rsidRPr="009339ED">
        <w:rPr>
          <w:sz w:val="22"/>
          <w:szCs w:val="22"/>
          <w:lang w:val="fr-FR"/>
        </w:rPr>
        <w:t>Réplication et couverture de risque dynamique</w:t>
      </w:r>
    </w:p>
    <w:p w:rsidR="009339ED" w:rsidRPr="00C83748" w:rsidRDefault="009339ED" w:rsidP="009339ED">
      <w:pPr>
        <w:numPr>
          <w:ilvl w:val="0"/>
          <w:numId w:val="31"/>
        </w:numPr>
        <w:rPr>
          <w:sz w:val="22"/>
          <w:szCs w:val="22"/>
          <w:lang w:val="fr-FR"/>
        </w:rPr>
      </w:pPr>
      <w:r w:rsidRPr="009339ED">
        <w:rPr>
          <w:sz w:val="22"/>
          <w:szCs w:val="22"/>
          <w:lang w:val="fr-FR"/>
        </w:rPr>
        <w:t>Arbitrage de valeur relative sur la courbe</w:t>
      </w:r>
    </w:p>
    <w:p w:rsidR="009339ED" w:rsidRPr="009339ED" w:rsidRDefault="009339ED" w:rsidP="009339ED">
      <w:pPr>
        <w:rPr>
          <w:sz w:val="22"/>
          <w:szCs w:val="22"/>
          <w:lang w:val="fr-FR"/>
        </w:rPr>
      </w:pPr>
    </w:p>
    <w:p w:rsidR="00C86903" w:rsidRPr="00CF563D" w:rsidRDefault="009339ED" w:rsidP="00CF563D">
      <w:pPr>
        <w:pStyle w:val="Paragraphedeliste"/>
        <w:numPr>
          <w:ilvl w:val="0"/>
          <w:numId w:val="12"/>
        </w:numPr>
        <w:spacing w:line="240" w:lineRule="exact"/>
        <w:jc w:val="both"/>
        <w:rPr>
          <w:sz w:val="22"/>
          <w:szCs w:val="22"/>
          <w:lang w:val="fr-FR"/>
        </w:rPr>
      </w:pPr>
      <w:r>
        <w:rPr>
          <w:b/>
          <w:sz w:val="22"/>
          <w:szCs w:val="22"/>
          <w:lang w:val="fr-FR"/>
        </w:rPr>
        <w:t>M</w:t>
      </w:r>
      <w:r w:rsidR="00157067" w:rsidRPr="00CF563D">
        <w:rPr>
          <w:b/>
          <w:sz w:val="22"/>
          <w:szCs w:val="22"/>
          <w:lang w:val="fr-FR"/>
        </w:rPr>
        <w:t>archés des titres à revenu fixe</w:t>
      </w:r>
      <w:r w:rsidR="00157067" w:rsidRPr="00CF563D">
        <w:rPr>
          <w:sz w:val="22"/>
          <w:szCs w:val="22"/>
          <w:lang w:val="fr-FR"/>
        </w:rPr>
        <w:t xml:space="preserve"> </w:t>
      </w:r>
    </w:p>
    <w:p w:rsidR="00FF4D88" w:rsidRPr="00CF563D" w:rsidRDefault="00FF4D88" w:rsidP="00CF563D">
      <w:pPr>
        <w:pStyle w:val="Paragraphedeliste"/>
        <w:spacing w:line="240" w:lineRule="exact"/>
        <w:ind w:left="1429"/>
        <w:jc w:val="both"/>
        <w:rPr>
          <w:sz w:val="22"/>
          <w:szCs w:val="22"/>
          <w:lang w:val="fr-FR"/>
        </w:rPr>
      </w:pPr>
    </w:p>
    <w:p w:rsidR="00CF563D" w:rsidRDefault="00CF563D" w:rsidP="00CF563D">
      <w:pPr>
        <w:numPr>
          <w:ilvl w:val="0"/>
          <w:numId w:val="29"/>
        </w:numPr>
        <w:spacing w:line="240" w:lineRule="exact"/>
        <w:ind w:left="1094" w:hanging="357"/>
        <w:jc w:val="both"/>
        <w:rPr>
          <w:sz w:val="22"/>
          <w:szCs w:val="22"/>
          <w:lang w:val="fr-FR"/>
        </w:rPr>
      </w:pPr>
      <w:r>
        <w:rPr>
          <w:sz w:val="22"/>
          <w:szCs w:val="22"/>
          <w:lang w:val="fr-FR"/>
        </w:rPr>
        <w:t>Absence d’arbitrage et loi du prix unique</w:t>
      </w:r>
    </w:p>
    <w:p w:rsidR="003F3E93" w:rsidRPr="003F3E93" w:rsidRDefault="003F3E93" w:rsidP="00CF563D">
      <w:pPr>
        <w:numPr>
          <w:ilvl w:val="0"/>
          <w:numId w:val="29"/>
        </w:numPr>
        <w:spacing w:line="240" w:lineRule="exact"/>
        <w:ind w:left="1094" w:hanging="357"/>
        <w:jc w:val="both"/>
        <w:rPr>
          <w:sz w:val="22"/>
          <w:szCs w:val="22"/>
          <w:lang w:val="fr-FR"/>
        </w:rPr>
      </w:pPr>
      <w:r w:rsidRPr="003F3E93">
        <w:rPr>
          <w:sz w:val="22"/>
          <w:szCs w:val="22"/>
          <w:lang w:val="fr-FR"/>
        </w:rPr>
        <w:t>Marchés obligataires gouvernementaux</w:t>
      </w:r>
    </w:p>
    <w:p w:rsidR="003F3E93" w:rsidRPr="003F3E93" w:rsidRDefault="003F3E93" w:rsidP="00CF563D">
      <w:pPr>
        <w:numPr>
          <w:ilvl w:val="0"/>
          <w:numId w:val="29"/>
        </w:numPr>
        <w:spacing w:line="240" w:lineRule="exact"/>
        <w:ind w:left="1094" w:hanging="357"/>
        <w:jc w:val="both"/>
        <w:rPr>
          <w:sz w:val="22"/>
          <w:szCs w:val="22"/>
          <w:lang w:val="fr-FR"/>
        </w:rPr>
      </w:pPr>
      <w:r w:rsidRPr="003F3E93">
        <w:rPr>
          <w:sz w:val="22"/>
          <w:szCs w:val="22"/>
          <w:lang w:val="fr-FR"/>
        </w:rPr>
        <w:t>Marché monétaire</w:t>
      </w:r>
    </w:p>
    <w:p w:rsidR="003F3E93" w:rsidRPr="003F3E93" w:rsidRDefault="003F3E93" w:rsidP="00CF563D">
      <w:pPr>
        <w:numPr>
          <w:ilvl w:val="0"/>
          <w:numId w:val="29"/>
        </w:numPr>
        <w:spacing w:line="240" w:lineRule="exact"/>
        <w:ind w:left="1094" w:hanging="357"/>
        <w:jc w:val="both"/>
        <w:rPr>
          <w:sz w:val="22"/>
          <w:szCs w:val="22"/>
          <w:lang w:val="fr-FR"/>
        </w:rPr>
      </w:pPr>
      <w:r w:rsidRPr="003F3E93">
        <w:rPr>
          <w:sz w:val="22"/>
          <w:szCs w:val="22"/>
          <w:lang w:val="fr-FR"/>
        </w:rPr>
        <w:t>Marché des pensions (repo</w:t>
      </w:r>
      <w:r w:rsidR="00992815">
        <w:rPr>
          <w:sz w:val="22"/>
          <w:szCs w:val="22"/>
          <w:lang w:val="fr-FR"/>
        </w:rPr>
        <w:t>s</w:t>
      </w:r>
      <w:r w:rsidRPr="003F3E93">
        <w:rPr>
          <w:sz w:val="22"/>
          <w:szCs w:val="22"/>
          <w:lang w:val="fr-FR"/>
        </w:rPr>
        <w:t>)</w:t>
      </w:r>
    </w:p>
    <w:p w:rsidR="003F3E93" w:rsidRDefault="003F3E93" w:rsidP="00CF563D">
      <w:pPr>
        <w:numPr>
          <w:ilvl w:val="0"/>
          <w:numId w:val="29"/>
        </w:numPr>
        <w:spacing w:line="240" w:lineRule="exact"/>
        <w:ind w:left="1094" w:hanging="357"/>
        <w:jc w:val="both"/>
        <w:rPr>
          <w:sz w:val="22"/>
          <w:szCs w:val="22"/>
          <w:lang w:val="fr-FR"/>
        </w:rPr>
      </w:pPr>
      <w:r w:rsidRPr="003F3E93">
        <w:rPr>
          <w:sz w:val="22"/>
          <w:szCs w:val="22"/>
          <w:lang w:val="fr-FR"/>
        </w:rPr>
        <w:t>Marché des titres adossés à des actifs</w:t>
      </w:r>
    </w:p>
    <w:p w:rsidR="004629A4" w:rsidRDefault="004629A4" w:rsidP="00CF563D">
      <w:pPr>
        <w:numPr>
          <w:ilvl w:val="0"/>
          <w:numId w:val="29"/>
        </w:numPr>
        <w:spacing w:line="240" w:lineRule="exact"/>
        <w:ind w:left="1094" w:hanging="357"/>
        <w:jc w:val="both"/>
        <w:rPr>
          <w:sz w:val="22"/>
          <w:szCs w:val="22"/>
          <w:lang w:val="fr-FR"/>
        </w:rPr>
      </w:pPr>
      <w:r>
        <w:rPr>
          <w:sz w:val="22"/>
          <w:szCs w:val="22"/>
          <w:lang w:val="fr-FR"/>
        </w:rPr>
        <w:t>Marché des titres dérivés</w:t>
      </w:r>
    </w:p>
    <w:p w:rsidR="00992815" w:rsidRPr="003F3E93" w:rsidRDefault="00992815" w:rsidP="00DD185F">
      <w:pPr>
        <w:spacing w:line="240" w:lineRule="exact"/>
        <w:jc w:val="both"/>
        <w:rPr>
          <w:sz w:val="22"/>
          <w:szCs w:val="22"/>
          <w:lang w:val="fr-FR"/>
        </w:rPr>
      </w:pPr>
    </w:p>
    <w:p w:rsidR="009C125D" w:rsidRDefault="009C125D" w:rsidP="00CF563D">
      <w:pPr>
        <w:numPr>
          <w:ilvl w:val="0"/>
          <w:numId w:val="12"/>
        </w:numPr>
        <w:spacing w:line="240" w:lineRule="exact"/>
        <w:ind w:left="357" w:hanging="357"/>
        <w:jc w:val="both"/>
        <w:rPr>
          <w:b/>
          <w:sz w:val="22"/>
          <w:szCs w:val="22"/>
          <w:lang w:val="fr-FR"/>
        </w:rPr>
      </w:pPr>
      <w:r>
        <w:rPr>
          <w:b/>
          <w:sz w:val="22"/>
          <w:szCs w:val="22"/>
          <w:lang w:val="fr-FR"/>
        </w:rPr>
        <w:t>Gestion du risque de taux d’intérêt</w:t>
      </w:r>
    </w:p>
    <w:p w:rsidR="00992815" w:rsidRPr="008E2F7A" w:rsidRDefault="00992815" w:rsidP="008E2F7A">
      <w:pPr>
        <w:spacing w:line="240" w:lineRule="exact"/>
        <w:jc w:val="both"/>
        <w:rPr>
          <w:sz w:val="22"/>
          <w:szCs w:val="22"/>
          <w:lang w:val="fr-FR"/>
        </w:rPr>
      </w:pPr>
    </w:p>
    <w:p w:rsidR="009C125D" w:rsidRDefault="007E6C2B" w:rsidP="00DD185F">
      <w:pPr>
        <w:pStyle w:val="Paragraphedeliste"/>
        <w:numPr>
          <w:ilvl w:val="0"/>
          <w:numId w:val="20"/>
        </w:numPr>
        <w:spacing w:line="240" w:lineRule="exact"/>
        <w:ind w:left="1094" w:hanging="357"/>
        <w:jc w:val="both"/>
        <w:rPr>
          <w:sz w:val="22"/>
          <w:szCs w:val="22"/>
          <w:lang w:val="fr-FR"/>
        </w:rPr>
      </w:pPr>
      <w:r>
        <w:rPr>
          <w:sz w:val="22"/>
          <w:szCs w:val="22"/>
          <w:lang w:val="fr-FR"/>
        </w:rPr>
        <w:t>Variation des taux d’intérêt</w:t>
      </w:r>
    </w:p>
    <w:p w:rsidR="007E6C2B" w:rsidRDefault="007E6C2B" w:rsidP="00DD185F">
      <w:pPr>
        <w:pStyle w:val="Paragraphedeliste"/>
        <w:numPr>
          <w:ilvl w:val="0"/>
          <w:numId w:val="20"/>
        </w:numPr>
        <w:spacing w:line="240" w:lineRule="exact"/>
        <w:ind w:left="1094" w:hanging="357"/>
        <w:jc w:val="both"/>
        <w:rPr>
          <w:sz w:val="22"/>
          <w:szCs w:val="22"/>
          <w:lang w:val="fr-FR"/>
        </w:rPr>
      </w:pPr>
      <w:r>
        <w:rPr>
          <w:sz w:val="22"/>
          <w:szCs w:val="22"/>
          <w:lang w:val="fr-FR"/>
        </w:rPr>
        <w:t>Duration</w:t>
      </w:r>
    </w:p>
    <w:p w:rsidR="008E2F7A" w:rsidRPr="008E2F7A" w:rsidRDefault="007E6C2B" w:rsidP="008E2F7A">
      <w:pPr>
        <w:pStyle w:val="Paragraphedeliste"/>
        <w:numPr>
          <w:ilvl w:val="0"/>
          <w:numId w:val="20"/>
        </w:numPr>
        <w:spacing w:line="240" w:lineRule="exact"/>
        <w:ind w:left="1094" w:hanging="357"/>
        <w:jc w:val="both"/>
        <w:rPr>
          <w:sz w:val="22"/>
          <w:szCs w:val="22"/>
          <w:lang w:val="fr-FR"/>
        </w:rPr>
      </w:pPr>
      <w:r w:rsidRPr="008E2F7A">
        <w:rPr>
          <w:sz w:val="22"/>
          <w:szCs w:val="22"/>
          <w:lang w:val="fr-FR"/>
        </w:rPr>
        <w:t>Gestion du risque</w:t>
      </w:r>
    </w:p>
    <w:p w:rsidR="000B1066" w:rsidRDefault="000B1066" w:rsidP="008E2F7A">
      <w:pPr>
        <w:pStyle w:val="Paragraphedeliste"/>
        <w:numPr>
          <w:ilvl w:val="1"/>
          <w:numId w:val="20"/>
        </w:numPr>
        <w:spacing w:line="240" w:lineRule="exact"/>
        <w:ind w:left="1701"/>
        <w:jc w:val="both"/>
        <w:rPr>
          <w:sz w:val="22"/>
          <w:szCs w:val="22"/>
          <w:lang w:val="fr-FR"/>
        </w:rPr>
      </w:pPr>
      <w:r>
        <w:rPr>
          <w:sz w:val="22"/>
          <w:szCs w:val="22"/>
          <w:lang w:val="fr-FR"/>
        </w:rPr>
        <w:t>Immunisation</w:t>
      </w:r>
    </w:p>
    <w:p w:rsidR="007E6C2B" w:rsidRDefault="007E6C2B" w:rsidP="008E2F7A">
      <w:pPr>
        <w:pStyle w:val="Paragraphedeliste"/>
        <w:numPr>
          <w:ilvl w:val="1"/>
          <w:numId w:val="20"/>
        </w:numPr>
        <w:spacing w:line="240" w:lineRule="exact"/>
        <w:ind w:left="1701"/>
        <w:jc w:val="both"/>
        <w:rPr>
          <w:sz w:val="22"/>
          <w:szCs w:val="22"/>
          <w:lang w:val="fr-FR"/>
        </w:rPr>
      </w:pPr>
      <w:r>
        <w:rPr>
          <w:sz w:val="22"/>
          <w:szCs w:val="22"/>
          <w:lang w:val="fr-FR"/>
        </w:rPr>
        <w:t>Gestion Actif-Passif</w:t>
      </w:r>
    </w:p>
    <w:p w:rsidR="007E6C2B" w:rsidRDefault="007E6C2B" w:rsidP="008E2F7A">
      <w:pPr>
        <w:pStyle w:val="Paragraphedeliste"/>
        <w:numPr>
          <w:ilvl w:val="1"/>
          <w:numId w:val="20"/>
        </w:numPr>
        <w:spacing w:line="240" w:lineRule="exact"/>
        <w:ind w:left="1701"/>
        <w:jc w:val="both"/>
        <w:rPr>
          <w:sz w:val="22"/>
          <w:szCs w:val="22"/>
          <w:lang w:val="fr-FR"/>
        </w:rPr>
      </w:pPr>
      <w:r>
        <w:rPr>
          <w:sz w:val="22"/>
          <w:szCs w:val="22"/>
          <w:lang w:val="fr-FR"/>
        </w:rPr>
        <w:t>Convexité</w:t>
      </w:r>
    </w:p>
    <w:p w:rsidR="007E6C2B" w:rsidRDefault="007E6C2B" w:rsidP="008E2F7A">
      <w:pPr>
        <w:pStyle w:val="Paragraphedeliste"/>
        <w:numPr>
          <w:ilvl w:val="1"/>
          <w:numId w:val="20"/>
        </w:numPr>
        <w:spacing w:line="240" w:lineRule="exact"/>
        <w:ind w:left="1701"/>
        <w:jc w:val="both"/>
        <w:rPr>
          <w:sz w:val="22"/>
          <w:szCs w:val="22"/>
          <w:lang w:val="fr-FR"/>
        </w:rPr>
      </w:pPr>
      <w:r>
        <w:rPr>
          <w:sz w:val="22"/>
          <w:szCs w:val="22"/>
          <w:lang w:val="fr-FR"/>
        </w:rPr>
        <w:t>Pente et courbure</w:t>
      </w:r>
    </w:p>
    <w:p w:rsidR="006F7EFC" w:rsidRDefault="007D51C9" w:rsidP="008E2F7A">
      <w:pPr>
        <w:pStyle w:val="Paragraphedeliste"/>
        <w:numPr>
          <w:ilvl w:val="1"/>
          <w:numId w:val="20"/>
        </w:numPr>
        <w:spacing w:line="240" w:lineRule="exact"/>
        <w:ind w:left="1701"/>
        <w:jc w:val="both"/>
        <w:rPr>
          <w:sz w:val="22"/>
          <w:szCs w:val="22"/>
          <w:lang w:val="fr-FR"/>
        </w:rPr>
      </w:pPr>
      <w:r w:rsidRPr="007D51C9">
        <w:rPr>
          <w:sz w:val="22"/>
          <w:szCs w:val="22"/>
          <w:lang w:val="fr-FR"/>
        </w:rPr>
        <w:t>Prévisibilité des rendements</w:t>
      </w:r>
    </w:p>
    <w:p w:rsidR="00916646" w:rsidRPr="008E2F7A" w:rsidRDefault="00916646" w:rsidP="008E2F7A">
      <w:pPr>
        <w:spacing w:line="240" w:lineRule="exact"/>
        <w:jc w:val="both"/>
        <w:rPr>
          <w:sz w:val="22"/>
          <w:szCs w:val="22"/>
          <w:lang w:val="fr-FR"/>
        </w:rPr>
      </w:pPr>
    </w:p>
    <w:p w:rsidR="00D21935" w:rsidRPr="00916646" w:rsidRDefault="00D21935" w:rsidP="00CF563D">
      <w:pPr>
        <w:pStyle w:val="Paragraphedeliste"/>
        <w:numPr>
          <w:ilvl w:val="0"/>
          <w:numId w:val="12"/>
        </w:numPr>
        <w:spacing w:line="240" w:lineRule="exact"/>
        <w:ind w:left="357" w:hanging="357"/>
        <w:jc w:val="both"/>
        <w:rPr>
          <w:b/>
          <w:sz w:val="22"/>
          <w:szCs w:val="22"/>
          <w:lang w:val="fr-FR"/>
        </w:rPr>
      </w:pPr>
      <w:r w:rsidRPr="00916646">
        <w:rPr>
          <w:b/>
          <w:sz w:val="22"/>
          <w:szCs w:val="22"/>
          <w:lang w:val="fr-FR"/>
        </w:rPr>
        <w:t>Gestion du risque avec produits dérivés</w:t>
      </w:r>
    </w:p>
    <w:p w:rsidR="009C125D" w:rsidRPr="008E2F7A" w:rsidRDefault="009C125D" w:rsidP="008E2F7A">
      <w:pPr>
        <w:spacing w:line="240" w:lineRule="exact"/>
        <w:jc w:val="both"/>
        <w:rPr>
          <w:sz w:val="22"/>
          <w:szCs w:val="22"/>
          <w:lang w:val="fr-FR"/>
        </w:rPr>
      </w:pPr>
    </w:p>
    <w:p w:rsidR="008B0F0F" w:rsidRDefault="00BB5D07" w:rsidP="00DD185F">
      <w:pPr>
        <w:pStyle w:val="Paragraphedeliste"/>
        <w:numPr>
          <w:ilvl w:val="0"/>
          <w:numId w:val="23"/>
        </w:numPr>
        <w:spacing w:line="240" w:lineRule="exact"/>
        <w:ind w:left="1094" w:hanging="357"/>
        <w:jc w:val="both"/>
        <w:rPr>
          <w:sz w:val="22"/>
          <w:szCs w:val="22"/>
          <w:lang w:val="fr-FR"/>
        </w:rPr>
      </w:pPr>
      <w:r>
        <w:rPr>
          <w:sz w:val="22"/>
          <w:szCs w:val="22"/>
          <w:lang w:val="fr-FR"/>
        </w:rPr>
        <w:t>Couverture</w:t>
      </w:r>
    </w:p>
    <w:p w:rsidR="00BB5D07" w:rsidRDefault="00BB5D07" w:rsidP="00DD185F">
      <w:pPr>
        <w:pStyle w:val="Paragraphedeliste"/>
        <w:numPr>
          <w:ilvl w:val="0"/>
          <w:numId w:val="23"/>
        </w:numPr>
        <w:spacing w:line="240" w:lineRule="exact"/>
        <w:ind w:left="1094" w:hanging="357"/>
        <w:jc w:val="both"/>
        <w:rPr>
          <w:sz w:val="22"/>
          <w:szCs w:val="22"/>
          <w:lang w:val="fr-FR"/>
        </w:rPr>
      </w:pPr>
      <w:r>
        <w:rPr>
          <w:sz w:val="22"/>
          <w:szCs w:val="22"/>
          <w:lang w:val="fr-FR"/>
        </w:rPr>
        <w:t>Contrats de taux d’intérêt (</w:t>
      </w:r>
      <w:proofErr w:type="spellStart"/>
      <w:r w:rsidRPr="008E2F7A">
        <w:rPr>
          <w:i/>
          <w:sz w:val="22"/>
          <w:szCs w:val="22"/>
          <w:lang w:val="fr-FR"/>
        </w:rPr>
        <w:t>forwards</w:t>
      </w:r>
      <w:proofErr w:type="spellEnd"/>
      <w:r>
        <w:rPr>
          <w:sz w:val="22"/>
          <w:szCs w:val="22"/>
          <w:lang w:val="fr-FR"/>
        </w:rPr>
        <w:t>)</w:t>
      </w:r>
    </w:p>
    <w:p w:rsidR="00BB5D07" w:rsidRDefault="00BB5D07" w:rsidP="00DD185F">
      <w:pPr>
        <w:pStyle w:val="Paragraphedeliste"/>
        <w:numPr>
          <w:ilvl w:val="0"/>
          <w:numId w:val="23"/>
        </w:numPr>
        <w:spacing w:line="240" w:lineRule="exact"/>
        <w:ind w:left="1094" w:hanging="357"/>
        <w:jc w:val="both"/>
        <w:rPr>
          <w:sz w:val="22"/>
          <w:szCs w:val="22"/>
          <w:lang w:val="fr-FR"/>
        </w:rPr>
      </w:pPr>
      <w:r w:rsidRPr="008E2F7A">
        <w:rPr>
          <w:i/>
          <w:sz w:val="22"/>
          <w:szCs w:val="22"/>
          <w:lang w:val="fr-FR"/>
        </w:rPr>
        <w:lastRenderedPageBreak/>
        <w:t>Swaps</w:t>
      </w:r>
      <w:r w:rsidR="008E2F7A">
        <w:rPr>
          <w:sz w:val="22"/>
          <w:szCs w:val="22"/>
          <w:lang w:val="fr-FR"/>
        </w:rPr>
        <w:t xml:space="preserve"> de taux d’i</w:t>
      </w:r>
      <w:r>
        <w:rPr>
          <w:sz w:val="22"/>
          <w:szCs w:val="22"/>
          <w:lang w:val="fr-FR"/>
        </w:rPr>
        <w:t>ntérêt</w:t>
      </w:r>
    </w:p>
    <w:p w:rsidR="00BB5D07" w:rsidRDefault="00BB5D07" w:rsidP="00DD185F">
      <w:pPr>
        <w:pStyle w:val="Paragraphedeliste"/>
        <w:numPr>
          <w:ilvl w:val="0"/>
          <w:numId w:val="23"/>
        </w:numPr>
        <w:spacing w:line="240" w:lineRule="exact"/>
        <w:ind w:left="1094" w:hanging="357"/>
        <w:jc w:val="both"/>
        <w:rPr>
          <w:sz w:val="22"/>
          <w:szCs w:val="22"/>
          <w:lang w:val="fr-FR"/>
        </w:rPr>
      </w:pPr>
      <w:r w:rsidRPr="00BB5D07">
        <w:rPr>
          <w:sz w:val="22"/>
          <w:szCs w:val="22"/>
          <w:lang w:val="fr-FR"/>
        </w:rPr>
        <w:t>Contrats et marchés de futures de taux d’intérêt</w:t>
      </w:r>
    </w:p>
    <w:p w:rsidR="00BB5D07" w:rsidRDefault="00BB5D07" w:rsidP="00DD185F">
      <w:pPr>
        <w:pStyle w:val="Paragraphedeliste"/>
        <w:numPr>
          <w:ilvl w:val="0"/>
          <w:numId w:val="23"/>
        </w:numPr>
        <w:spacing w:line="240" w:lineRule="exact"/>
        <w:ind w:left="1094" w:hanging="357"/>
        <w:jc w:val="both"/>
        <w:rPr>
          <w:sz w:val="22"/>
          <w:szCs w:val="22"/>
          <w:lang w:val="fr-FR"/>
        </w:rPr>
      </w:pPr>
      <w:r>
        <w:rPr>
          <w:sz w:val="22"/>
          <w:szCs w:val="22"/>
          <w:lang w:val="fr-FR"/>
        </w:rPr>
        <w:t>Options</w:t>
      </w:r>
      <w:bookmarkStart w:id="0" w:name="_GoBack"/>
      <w:bookmarkEnd w:id="0"/>
    </w:p>
    <w:p w:rsidR="009C125D" w:rsidRPr="008E2F7A" w:rsidRDefault="009C125D" w:rsidP="008E2F7A">
      <w:pPr>
        <w:spacing w:line="240" w:lineRule="exact"/>
        <w:jc w:val="both"/>
        <w:rPr>
          <w:sz w:val="22"/>
          <w:szCs w:val="22"/>
          <w:lang w:val="fr-FR"/>
        </w:rPr>
      </w:pPr>
    </w:p>
    <w:p w:rsidR="005D0839" w:rsidRDefault="008E2F7A" w:rsidP="00CF563D">
      <w:pPr>
        <w:numPr>
          <w:ilvl w:val="0"/>
          <w:numId w:val="12"/>
        </w:numPr>
        <w:spacing w:line="240" w:lineRule="exact"/>
        <w:ind w:left="357" w:hanging="357"/>
        <w:jc w:val="both"/>
        <w:rPr>
          <w:b/>
          <w:sz w:val="22"/>
          <w:szCs w:val="22"/>
          <w:lang w:val="fr-FR"/>
        </w:rPr>
      </w:pPr>
      <w:r>
        <w:rPr>
          <w:b/>
          <w:sz w:val="22"/>
          <w:szCs w:val="22"/>
          <w:lang w:val="fr-FR"/>
        </w:rPr>
        <w:t>Marchés des obligations et politique m</w:t>
      </w:r>
      <w:r w:rsidR="005D0839">
        <w:rPr>
          <w:b/>
          <w:sz w:val="22"/>
          <w:szCs w:val="22"/>
          <w:lang w:val="fr-FR"/>
        </w:rPr>
        <w:t>onétaire</w:t>
      </w:r>
    </w:p>
    <w:p w:rsidR="005D0839" w:rsidRPr="008E2F7A" w:rsidRDefault="005D0839" w:rsidP="008E2F7A">
      <w:pPr>
        <w:spacing w:line="240" w:lineRule="exact"/>
        <w:jc w:val="both"/>
        <w:rPr>
          <w:sz w:val="22"/>
          <w:szCs w:val="22"/>
          <w:lang w:val="fr-FR"/>
        </w:rPr>
      </w:pPr>
    </w:p>
    <w:p w:rsidR="00F84E87" w:rsidRDefault="00F84E87" w:rsidP="00DD185F">
      <w:pPr>
        <w:pStyle w:val="Paragraphedeliste"/>
        <w:numPr>
          <w:ilvl w:val="0"/>
          <w:numId w:val="22"/>
        </w:numPr>
        <w:spacing w:line="240" w:lineRule="exact"/>
        <w:ind w:left="1094" w:hanging="357"/>
        <w:jc w:val="both"/>
        <w:rPr>
          <w:sz w:val="22"/>
          <w:szCs w:val="22"/>
          <w:lang w:val="fr-FR"/>
        </w:rPr>
      </w:pPr>
      <w:r>
        <w:rPr>
          <w:sz w:val="22"/>
          <w:szCs w:val="22"/>
          <w:lang w:val="fr-FR"/>
        </w:rPr>
        <w:t>Identification des chocs monétaires</w:t>
      </w:r>
    </w:p>
    <w:p w:rsidR="005D0839" w:rsidRDefault="005D0839" w:rsidP="00DD185F">
      <w:pPr>
        <w:pStyle w:val="Paragraphedeliste"/>
        <w:numPr>
          <w:ilvl w:val="0"/>
          <w:numId w:val="22"/>
        </w:numPr>
        <w:spacing w:line="240" w:lineRule="exact"/>
        <w:ind w:left="1094" w:hanging="357"/>
        <w:jc w:val="both"/>
        <w:rPr>
          <w:sz w:val="22"/>
          <w:szCs w:val="22"/>
          <w:lang w:val="fr-FR"/>
        </w:rPr>
      </w:pPr>
      <w:r>
        <w:rPr>
          <w:sz w:val="22"/>
          <w:szCs w:val="22"/>
          <w:lang w:val="fr-FR"/>
        </w:rPr>
        <w:t>Effets des chocs monétaires – politique conventionnelle</w:t>
      </w:r>
    </w:p>
    <w:p w:rsidR="005D0839" w:rsidRPr="005D0839" w:rsidRDefault="005D0839" w:rsidP="00DD185F">
      <w:pPr>
        <w:pStyle w:val="Paragraphedeliste"/>
        <w:numPr>
          <w:ilvl w:val="0"/>
          <w:numId w:val="22"/>
        </w:numPr>
        <w:spacing w:line="240" w:lineRule="exact"/>
        <w:ind w:left="1094" w:hanging="357"/>
        <w:jc w:val="both"/>
        <w:rPr>
          <w:sz w:val="22"/>
          <w:szCs w:val="22"/>
          <w:lang w:val="fr-FR"/>
        </w:rPr>
      </w:pPr>
      <w:r w:rsidRPr="005D0839">
        <w:rPr>
          <w:sz w:val="22"/>
          <w:szCs w:val="22"/>
          <w:lang w:val="fr-FR"/>
        </w:rPr>
        <w:t xml:space="preserve">Effets des chocs monétaires – politique </w:t>
      </w:r>
      <w:r w:rsidR="008E2F7A">
        <w:rPr>
          <w:sz w:val="22"/>
          <w:szCs w:val="22"/>
          <w:lang w:val="fr-FR"/>
        </w:rPr>
        <w:t xml:space="preserve">non </w:t>
      </w:r>
      <w:r w:rsidRPr="005D0839">
        <w:rPr>
          <w:sz w:val="22"/>
          <w:szCs w:val="22"/>
          <w:lang w:val="fr-FR"/>
        </w:rPr>
        <w:t>conventionnelle</w:t>
      </w:r>
    </w:p>
    <w:p w:rsidR="005D0839" w:rsidRPr="008E2F7A" w:rsidRDefault="005D0839" w:rsidP="008E2F7A">
      <w:pPr>
        <w:spacing w:line="240" w:lineRule="exact"/>
        <w:jc w:val="both"/>
        <w:rPr>
          <w:sz w:val="22"/>
          <w:szCs w:val="22"/>
          <w:lang w:val="fr-FR"/>
        </w:rPr>
      </w:pPr>
    </w:p>
    <w:p w:rsidR="007D51C9" w:rsidRPr="007D51C9" w:rsidRDefault="00B95422" w:rsidP="007D51C9">
      <w:pPr>
        <w:numPr>
          <w:ilvl w:val="0"/>
          <w:numId w:val="12"/>
        </w:numPr>
        <w:spacing w:line="240" w:lineRule="exact"/>
        <w:ind w:hanging="501"/>
        <w:jc w:val="both"/>
        <w:rPr>
          <w:sz w:val="22"/>
          <w:szCs w:val="22"/>
          <w:lang w:val="fr-FR"/>
        </w:rPr>
      </w:pPr>
      <w:r>
        <w:rPr>
          <w:b/>
          <w:sz w:val="22"/>
          <w:szCs w:val="22"/>
          <w:lang w:val="fr-FR"/>
        </w:rPr>
        <w:t>Sujet d’actualité – Banque du Canada</w:t>
      </w:r>
    </w:p>
    <w:p w:rsidR="007D51C9" w:rsidRDefault="007D51C9" w:rsidP="007D51C9">
      <w:pPr>
        <w:spacing w:line="240" w:lineRule="exact"/>
        <w:ind w:left="360"/>
        <w:jc w:val="both"/>
        <w:rPr>
          <w:sz w:val="22"/>
          <w:szCs w:val="22"/>
          <w:lang w:val="fr-FR"/>
        </w:rPr>
      </w:pPr>
    </w:p>
    <w:p w:rsidR="007D51C9" w:rsidRDefault="00B95422" w:rsidP="007D51C9">
      <w:pPr>
        <w:numPr>
          <w:ilvl w:val="1"/>
          <w:numId w:val="12"/>
        </w:numPr>
        <w:spacing w:line="240" w:lineRule="exact"/>
        <w:jc w:val="both"/>
        <w:rPr>
          <w:sz w:val="22"/>
          <w:szCs w:val="22"/>
          <w:lang w:val="fr-FR"/>
        </w:rPr>
      </w:pPr>
      <w:r>
        <w:rPr>
          <w:sz w:val="22"/>
          <w:szCs w:val="22"/>
          <w:lang w:val="fr-FR"/>
        </w:rPr>
        <w:t>Prime de terme et facteurs macroéconomiques</w:t>
      </w:r>
    </w:p>
    <w:p w:rsidR="00B95422" w:rsidRDefault="00B95422" w:rsidP="007D51C9">
      <w:pPr>
        <w:numPr>
          <w:ilvl w:val="1"/>
          <w:numId w:val="12"/>
        </w:numPr>
        <w:spacing w:line="240" w:lineRule="exact"/>
        <w:jc w:val="both"/>
        <w:rPr>
          <w:sz w:val="22"/>
          <w:szCs w:val="22"/>
          <w:lang w:val="fr-FR"/>
        </w:rPr>
      </w:pPr>
      <w:r>
        <w:rPr>
          <w:sz w:val="22"/>
          <w:szCs w:val="22"/>
          <w:lang w:val="fr-FR"/>
        </w:rPr>
        <w:t>Taux neutre</w:t>
      </w:r>
    </w:p>
    <w:p w:rsidR="00B95422" w:rsidRDefault="00B95422" w:rsidP="00B95422">
      <w:pPr>
        <w:spacing w:line="240" w:lineRule="exact"/>
        <w:ind w:left="720"/>
        <w:jc w:val="both"/>
        <w:rPr>
          <w:sz w:val="22"/>
          <w:szCs w:val="22"/>
          <w:lang w:val="fr-FR"/>
        </w:rPr>
      </w:pPr>
    </w:p>
    <w:sectPr w:rsidR="00B95422" w:rsidSect="00E03971">
      <w:footerReference w:type="default" r:id="rId13"/>
      <w:pgSz w:w="12240" w:h="15840"/>
      <w:pgMar w:top="1134" w:right="720" w:bottom="288" w:left="720" w:header="720" w:footer="56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A21A1" w:rsidRDefault="00DA21A1">
      <w:r>
        <w:separator/>
      </w:r>
    </w:p>
  </w:endnote>
  <w:endnote w:type="continuationSeparator" w:id="0">
    <w:p w:rsidR="00DA21A1" w:rsidRDefault="00DA21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R Frutiger Roman">
    <w:altName w:val="Courier New"/>
    <w:charset w:val="00"/>
    <w:family w:val="auto"/>
    <w:pitch w:val="variable"/>
    <w:sig w:usb0="03000003" w:usb1="00000000" w:usb2="00000000" w:usb3="00000000" w:csb0="00000001" w:csb1="00000000"/>
  </w:font>
  <w:font w:name="Times">
    <w:panose1 w:val="020206030504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5459" w:rsidRPr="00845AA7" w:rsidRDefault="00085459" w:rsidP="001478D9">
    <w:pPr>
      <w:pStyle w:val="Pieddepage"/>
      <w:pBdr>
        <w:top w:val="dotted" w:sz="2" w:space="3" w:color="auto"/>
      </w:pBdr>
      <w:tabs>
        <w:tab w:val="clear" w:pos="4320"/>
        <w:tab w:val="clear" w:pos="8640"/>
        <w:tab w:val="center" w:pos="5400"/>
        <w:tab w:val="right" w:pos="10800"/>
      </w:tabs>
      <w:spacing w:before="60"/>
      <w:rPr>
        <w:i/>
        <w:noProof/>
        <w:sz w:val="14"/>
        <w:szCs w:val="14"/>
      </w:rPr>
    </w:pPr>
    <w:r w:rsidRPr="00845AA7">
      <w:rPr>
        <w:i/>
        <w:noProof/>
        <w:sz w:val="14"/>
        <w:szCs w:val="14"/>
      </w:rPr>
      <w:t>E</w:t>
    </w:r>
    <w:r w:rsidR="00845AA7" w:rsidRPr="00845AA7">
      <w:rPr>
        <w:i/>
        <w:noProof/>
        <w:sz w:val="14"/>
        <w:szCs w:val="14"/>
      </w:rPr>
      <w:t>CN 625</w:t>
    </w:r>
    <w:r w:rsidR="00D34926" w:rsidRPr="00845AA7">
      <w:rPr>
        <w:i/>
        <w:noProof/>
        <w:sz w:val="14"/>
        <w:szCs w:val="14"/>
      </w:rPr>
      <w:t xml:space="preserve">8A – </w:t>
    </w:r>
    <w:r w:rsidR="00845AA7" w:rsidRPr="00845AA7">
      <w:rPr>
        <w:i/>
        <w:noProof/>
        <w:sz w:val="14"/>
        <w:szCs w:val="14"/>
      </w:rPr>
      <w:t xml:space="preserve">Sujets spéciaux </w:t>
    </w:r>
    <w:r w:rsidR="00E15CF1">
      <w:rPr>
        <w:i/>
        <w:noProof/>
        <w:sz w:val="14"/>
        <w:szCs w:val="14"/>
      </w:rPr>
      <w:t>en m</w:t>
    </w:r>
    <w:r w:rsidR="00845AA7" w:rsidRPr="00845AA7">
      <w:rPr>
        <w:i/>
        <w:noProof/>
        <w:sz w:val="14"/>
        <w:szCs w:val="14"/>
      </w:rPr>
      <w:t>onnaie, banques et marchés</w:t>
    </w:r>
    <w:r w:rsidRPr="00845AA7">
      <w:rPr>
        <w:i/>
        <w:noProof/>
        <w:sz w:val="14"/>
        <w:szCs w:val="14"/>
      </w:rPr>
      <w:tab/>
    </w:r>
    <w:r w:rsidRPr="00845AA7">
      <w:rPr>
        <w:i/>
        <w:sz w:val="14"/>
        <w:szCs w:val="14"/>
      </w:rPr>
      <w:t xml:space="preserve">Plan de cours </w:t>
    </w:r>
    <w:r w:rsidRPr="00845AA7">
      <w:rPr>
        <w:i/>
        <w:sz w:val="14"/>
        <w:szCs w:val="14"/>
      </w:rPr>
      <w:sym w:font="Wingdings 2" w:char="F0B2"/>
    </w:r>
    <w:r w:rsidR="00DC5B4A">
      <w:rPr>
        <w:i/>
        <w:sz w:val="14"/>
        <w:szCs w:val="14"/>
      </w:rPr>
      <w:t xml:space="preserve"> Hiver 20</w:t>
    </w:r>
    <w:r w:rsidR="00B95422">
      <w:rPr>
        <w:i/>
        <w:sz w:val="14"/>
        <w:szCs w:val="14"/>
      </w:rPr>
      <w:t>20</w:t>
    </w:r>
    <w:r w:rsidRPr="00845AA7">
      <w:rPr>
        <w:i/>
        <w:sz w:val="14"/>
        <w:szCs w:val="14"/>
      </w:rPr>
      <w:tab/>
    </w:r>
    <w:r w:rsidRPr="00845AA7">
      <w:rPr>
        <w:i/>
        <w:snapToGrid w:val="0"/>
        <w:sz w:val="14"/>
        <w:szCs w:val="14"/>
      </w:rPr>
      <w:t xml:space="preserve">Page </w:t>
    </w:r>
    <w:r w:rsidR="00C15947" w:rsidRPr="00845AA7">
      <w:rPr>
        <w:i/>
        <w:snapToGrid w:val="0"/>
        <w:sz w:val="14"/>
        <w:szCs w:val="14"/>
      </w:rPr>
      <w:fldChar w:fldCharType="begin"/>
    </w:r>
    <w:r w:rsidRPr="00845AA7">
      <w:rPr>
        <w:i/>
        <w:snapToGrid w:val="0"/>
        <w:sz w:val="14"/>
        <w:szCs w:val="14"/>
      </w:rPr>
      <w:instrText xml:space="preserve"> PAGE </w:instrText>
    </w:r>
    <w:r w:rsidR="00C15947" w:rsidRPr="00845AA7">
      <w:rPr>
        <w:i/>
        <w:snapToGrid w:val="0"/>
        <w:sz w:val="14"/>
        <w:szCs w:val="14"/>
      </w:rPr>
      <w:fldChar w:fldCharType="separate"/>
    </w:r>
    <w:r w:rsidR="00B83EE2">
      <w:rPr>
        <w:i/>
        <w:noProof/>
        <w:snapToGrid w:val="0"/>
        <w:sz w:val="14"/>
        <w:szCs w:val="14"/>
      </w:rPr>
      <w:t>2</w:t>
    </w:r>
    <w:r w:rsidR="00C15947" w:rsidRPr="00845AA7">
      <w:rPr>
        <w:i/>
        <w:snapToGrid w:val="0"/>
        <w:sz w:val="14"/>
        <w:szCs w:val="14"/>
      </w:rPr>
      <w:fldChar w:fldCharType="end"/>
    </w:r>
    <w:r w:rsidRPr="00845AA7">
      <w:rPr>
        <w:i/>
        <w:snapToGrid w:val="0"/>
        <w:sz w:val="14"/>
        <w:szCs w:val="14"/>
      </w:rPr>
      <w:t xml:space="preserve"> de </w:t>
    </w:r>
    <w:r w:rsidR="00C15947" w:rsidRPr="00845AA7">
      <w:rPr>
        <w:rStyle w:val="Numrodepage"/>
        <w:i/>
        <w:sz w:val="14"/>
        <w:szCs w:val="14"/>
      </w:rPr>
      <w:fldChar w:fldCharType="begin"/>
    </w:r>
    <w:r w:rsidRPr="00845AA7">
      <w:rPr>
        <w:rStyle w:val="Numrodepage"/>
        <w:i/>
        <w:sz w:val="14"/>
        <w:szCs w:val="14"/>
      </w:rPr>
      <w:instrText xml:space="preserve"> NUMPAGES </w:instrText>
    </w:r>
    <w:r w:rsidR="00C15947" w:rsidRPr="00845AA7">
      <w:rPr>
        <w:rStyle w:val="Numrodepage"/>
        <w:i/>
        <w:sz w:val="14"/>
        <w:szCs w:val="14"/>
      </w:rPr>
      <w:fldChar w:fldCharType="separate"/>
    </w:r>
    <w:r w:rsidR="00B83EE2">
      <w:rPr>
        <w:rStyle w:val="Numrodepage"/>
        <w:i/>
        <w:noProof/>
        <w:sz w:val="14"/>
        <w:szCs w:val="14"/>
      </w:rPr>
      <w:t>4</w:t>
    </w:r>
    <w:r w:rsidR="00C15947" w:rsidRPr="00845AA7">
      <w:rPr>
        <w:rStyle w:val="Numrodepage"/>
        <w:i/>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A21A1" w:rsidRDefault="00DA21A1">
      <w:r>
        <w:separator/>
      </w:r>
    </w:p>
  </w:footnote>
  <w:footnote w:type="continuationSeparator" w:id="0">
    <w:p w:rsidR="00DA21A1" w:rsidRDefault="00DA21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4"/>
    <w:multiLevelType w:val="multilevel"/>
    <w:tmpl w:val="00000004"/>
    <w:name w:val="WW8Num4"/>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2.%3)"/>
      <w:lvlJc w:val="left"/>
      <w:pPr>
        <w:tabs>
          <w:tab w:val="num" w:pos="1080"/>
        </w:tabs>
        <w:ind w:left="1080" w:hanging="360"/>
      </w:pPr>
    </w:lvl>
    <w:lvl w:ilvl="3">
      <w:start w:val="1"/>
      <w:numFmt w:val="decimal"/>
      <w:lvlText w:val="(%2.%3.%4)"/>
      <w:lvlJc w:val="left"/>
      <w:pPr>
        <w:tabs>
          <w:tab w:val="num" w:pos="1440"/>
        </w:tabs>
        <w:ind w:left="1440" w:hanging="360"/>
      </w:pPr>
    </w:lvl>
    <w:lvl w:ilvl="4">
      <w:start w:val="1"/>
      <w:numFmt w:val="lowerLetter"/>
      <w:lvlText w:val="(%2.%3.%4.%5)"/>
      <w:lvlJc w:val="left"/>
      <w:pPr>
        <w:tabs>
          <w:tab w:val="num" w:pos="1800"/>
        </w:tabs>
        <w:ind w:left="1800" w:hanging="360"/>
      </w:pPr>
    </w:lvl>
    <w:lvl w:ilvl="5">
      <w:start w:val="1"/>
      <w:numFmt w:val="lowerRoman"/>
      <w:lvlText w:val="(%2.%3.%4.%5.%6)"/>
      <w:lvlJc w:val="left"/>
      <w:pPr>
        <w:tabs>
          <w:tab w:val="num" w:pos="2160"/>
        </w:tabs>
        <w:ind w:left="2160" w:hanging="360"/>
      </w:pPr>
    </w:lvl>
    <w:lvl w:ilvl="6">
      <w:start w:val="1"/>
      <w:numFmt w:val="decimal"/>
      <w:lvlText w:val="%2.%3.%4.%5.%6.%7."/>
      <w:lvlJc w:val="left"/>
      <w:pPr>
        <w:tabs>
          <w:tab w:val="num" w:pos="2520"/>
        </w:tabs>
        <w:ind w:left="2520" w:hanging="360"/>
      </w:pPr>
    </w:lvl>
    <w:lvl w:ilvl="7">
      <w:start w:val="1"/>
      <w:numFmt w:val="lowerLetter"/>
      <w:lvlText w:val="%2.%3.%4.%5.%6.%7.%8."/>
      <w:lvlJc w:val="left"/>
      <w:pPr>
        <w:tabs>
          <w:tab w:val="num" w:pos="2880"/>
        </w:tabs>
        <w:ind w:left="2880" w:hanging="360"/>
      </w:pPr>
    </w:lvl>
    <w:lvl w:ilvl="8">
      <w:start w:val="1"/>
      <w:numFmt w:val="lowerRoman"/>
      <w:lvlText w:val="%2.%3.%4.%5.%6.%7.%8.%9."/>
      <w:lvlJc w:val="left"/>
      <w:pPr>
        <w:tabs>
          <w:tab w:val="num" w:pos="3240"/>
        </w:tabs>
        <w:ind w:left="3240" w:hanging="360"/>
      </w:pPr>
    </w:lvl>
  </w:abstractNum>
  <w:abstractNum w:abstractNumId="1" w15:restartNumberingAfterBreak="0">
    <w:nsid w:val="02F9304B"/>
    <w:multiLevelType w:val="hybridMultilevel"/>
    <w:tmpl w:val="6D4A4D52"/>
    <w:name w:val="WW8Num3"/>
    <w:lvl w:ilvl="0" w:tplc="33EA2102">
      <w:start w:val="1"/>
      <w:numFmt w:val="bullet"/>
      <w:lvlText w:val=""/>
      <w:lvlJc w:val="left"/>
      <w:pPr>
        <w:tabs>
          <w:tab w:val="num" w:pos="720"/>
        </w:tabs>
        <w:ind w:left="720" w:hanging="360"/>
      </w:pPr>
      <w:rPr>
        <w:rFonts w:ascii="Symbol" w:hAnsi="Symbol" w:hint="default"/>
      </w:rPr>
    </w:lvl>
    <w:lvl w:ilvl="1" w:tplc="B3184C98" w:tentative="1">
      <w:start w:val="1"/>
      <w:numFmt w:val="bullet"/>
      <w:lvlText w:val="o"/>
      <w:lvlJc w:val="left"/>
      <w:pPr>
        <w:tabs>
          <w:tab w:val="num" w:pos="1440"/>
        </w:tabs>
        <w:ind w:left="1440" w:hanging="360"/>
      </w:pPr>
      <w:rPr>
        <w:rFonts w:ascii="Courier New" w:hAnsi="Courier New" w:cs="Arial" w:hint="default"/>
      </w:rPr>
    </w:lvl>
    <w:lvl w:ilvl="2" w:tplc="CFC2EB4C" w:tentative="1">
      <w:start w:val="1"/>
      <w:numFmt w:val="bullet"/>
      <w:lvlText w:val=""/>
      <w:lvlJc w:val="left"/>
      <w:pPr>
        <w:tabs>
          <w:tab w:val="num" w:pos="2160"/>
        </w:tabs>
        <w:ind w:left="2160" w:hanging="360"/>
      </w:pPr>
      <w:rPr>
        <w:rFonts w:ascii="Wingdings" w:hAnsi="Wingdings" w:hint="default"/>
      </w:rPr>
    </w:lvl>
    <w:lvl w:ilvl="3" w:tplc="87BA5D18" w:tentative="1">
      <w:start w:val="1"/>
      <w:numFmt w:val="bullet"/>
      <w:lvlText w:val=""/>
      <w:lvlJc w:val="left"/>
      <w:pPr>
        <w:tabs>
          <w:tab w:val="num" w:pos="2880"/>
        </w:tabs>
        <w:ind w:left="2880" w:hanging="360"/>
      </w:pPr>
      <w:rPr>
        <w:rFonts w:ascii="Symbol" w:hAnsi="Symbol" w:hint="default"/>
      </w:rPr>
    </w:lvl>
    <w:lvl w:ilvl="4" w:tplc="B916F1E8" w:tentative="1">
      <w:start w:val="1"/>
      <w:numFmt w:val="bullet"/>
      <w:lvlText w:val="o"/>
      <w:lvlJc w:val="left"/>
      <w:pPr>
        <w:tabs>
          <w:tab w:val="num" w:pos="3600"/>
        </w:tabs>
        <w:ind w:left="3600" w:hanging="360"/>
      </w:pPr>
      <w:rPr>
        <w:rFonts w:ascii="Courier New" w:hAnsi="Courier New" w:cs="Arial" w:hint="default"/>
      </w:rPr>
    </w:lvl>
    <w:lvl w:ilvl="5" w:tplc="F0FEE52C" w:tentative="1">
      <w:start w:val="1"/>
      <w:numFmt w:val="bullet"/>
      <w:lvlText w:val=""/>
      <w:lvlJc w:val="left"/>
      <w:pPr>
        <w:tabs>
          <w:tab w:val="num" w:pos="4320"/>
        </w:tabs>
        <w:ind w:left="4320" w:hanging="360"/>
      </w:pPr>
      <w:rPr>
        <w:rFonts w:ascii="Wingdings" w:hAnsi="Wingdings" w:hint="default"/>
      </w:rPr>
    </w:lvl>
    <w:lvl w:ilvl="6" w:tplc="5E507842" w:tentative="1">
      <w:start w:val="1"/>
      <w:numFmt w:val="bullet"/>
      <w:lvlText w:val=""/>
      <w:lvlJc w:val="left"/>
      <w:pPr>
        <w:tabs>
          <w:tab w:val="num" w:pos="5040"/>
        </w:tabs>
        <w:ind w:left="5040" w:hanging="360"/>
      </w:pPr>
      <w:rPr>
        <w:rFonts w:ascii="Symbol" w:hAnsi="Symbol" w:hint="default"/>
      </w:rPr>
    </w:lvl>
    <w:lvl w:ilvl="7" w:tplc="127CA08A" w:tentative="1">
      <w:start w:val="1"/>
      <w:numFmt w:val="bullet"/>
      <w:lvlText w:val="o"/>
      <w:lvlJc w:val="left"/>
      <w:pPr>
        <w:tabs>
          <w:tab w:val="num" w:pos="5760"/>
        </w:tabs>
        <w:ind w:left="5760" w:hanging="360"/>
      </w:pPr>
      <w:rPr>
        <w:rFonts w:ascii="Courier New" w:hAnsi="Courier New" w:cs="Arial" w:hint="default"/>
      </w:rPr>
    </w:lvl>
    <w:lvl w:ilvl="8" w:tplc="3E82932A"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C127CD"/>
    <w:multiLevelType w:val="hybridMultilevel"/>
    <w:tmpl w:val="31D2AD08"/>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D1C212C"/>
    <w:multiLevelType w:val="hybridMultilevel"/>
    <w:tmpl w:val="1D8862E4"/>
    <w:lvl w:ilvl="0" w:tplc="0409001B">
      <w:start w:val="1"/>
      <w:numFmt w:val="lowerRoman"/>
      <w:lvlText w:val="%1."/>
      <w:lvlJc w:val="right"/>
      <w:pPr>
        <w:ind w:left="1069" w:hanging="360"/>
      </w:pPr>
      <w:rPr>
        <w:rFonts w:hint="default"/>
      </w:rPr>
    </w:lvl>
    <w:lvl w:ilvl="1" w:tplc="04090003">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4" w15:restartNumberingAfterBreak="0">
    <w:nsid w:val="10054620"/>
    <w:multiLevelType w:val="hybridMultilevel"/>
    <w:tmpl w:val="FFAC29BA"/>
    <w:lvl w:ilvl="0" w:tplc="0C0C0001">
      <w:start w:val="1"/>
      <w:numFmt w:val="bullet"/>
      <w:lvlText w:val=""/>
      <w:lvlJc w:val="left"/>
      <w:pPr>
        <w:ind w:left="1429" w:hanging="720"/>
      </w:pPr>
      <w:rPr>
        <w:rFonts w:ascii="Symbol" w:hAnsi="Symbol" w:hint="default"/>
      </w:rPr>
    </w:lvl>
    <w:lvl w:ilvl="1" w:tplc="0C0C0019" w:tentative="1">
      <w:start w:val="1"/>
      <w:numFmt w:val="lowerLetter"/>
      <w:lvlText w:val="%2."/>
      <w:lvlJc w:val="left"/>
      <w:pPr>
        <w:ind w:left="1789" w:hanging="360"/>
      </w:pPr>
    </w:lvl>
    <w:lvl w:ilvl="2" w:tplc="0C0C001B" w:tentative="1">
      <w:start w:val="1"/>
      <w:numFmt w:val="lowerRoman"/>
      <w:lvlText w:val="%3."/>
      <w:lvlJc w:val="right"/>
      <w:pPr>
        <w:ind w:left="2509" w:hanging="180"/>
      </w:pPr>
    </w:lvl>
    <w:lvl w:ilvl="3" w:tplc="0C0C000F" w:tentative="1">
      <w:start w:val="1"/>
      <w:numFmt w:val="decimal"/>
      <w:lvlText w:val="%4."/>
      <w:lvlJc w:val="left"/>
      <w:pPr>
        <w:ind w:left="3229" w:hanging="360"/>
      </w:pPr>
    </w:lvl>
    <w:lvl w:ilvl="4" w:tplc="0C0C0019" w:tentative="1">
      <w:start w:val="1"/>
      <w:numFmt w:val="lowerLetter"/>
      <w:lvlText w:val="%5."/>
      <w:lvlJc w:val="left"/>
      <w:pPr>
        <w:ind w:left="3949" w:hanging="360"/>
      </w:pPr>
    </w:lvl>
    <w:lvl w:ilvl="5" w:tplc="0C0C001B" w:tentative="1">
      <w:start w:val="1"/>
      <w:numFmt w:val="lowerRoman"/>
      <w:lvlText w:val="%6."/>
      <w:lvlJc w:val="right"/>
      <w:pPr>
        <w:ind w:left="4669" w:hanging="180"/>
      </w:pPr>
    </w:lvl>
    <w:lvl w:ilvl="6" w:tplc="0C0C000F" w:tentative="1">
      <w:start w:val="1"/>
      <w:numFmt w:val="decimal"/>
      <w:lvlText w:val="%7."/>
      <w:lvlJc w:val="left"/>
      <w:pPr>
        <w:ind w:left="5389" w:hanging="360"/>
      </w:pPr>
    </w:lvl>
    <w:lvl w:ilvl="7" w:tplc="0C0C0019" w:tentative="1">
      <w:start w:val="1"/>
      <w:numFmt w:val="lowerLetter"/>
      <w:lvlText w:val="%8."/>
      <w:lvlJc w:val="left"/>
      <w:pPr>
        <w:ind w:left="6109" w:hanging="360"/>
      </w:pPr>
    </w:lvl>
    <w:lvl w:ilvl="8" w:tplc="0C0C001B" w:tentative="1">
      <w:start w:val="1"/>
      <w:numFmt w:val="lowerRoman"/>
      <w:lvlText w:val="%9."/>
      <w:lvlJc w:val="right"/>
      <w:pPr>
        <w:ind w:left="6829" w:hanging="180"/>
      </w:pPr>
    </w:lvl>
  </w:abstractNum>
  <w:abstractNum w:abstractNumId="5" w15:restartNumberingAfterBreak="0">
    <w:nsid w:val="137F2AA7"/>
    <w:multiLevelType w:val="hybridMultilevel"/>
    <w:tmpl w:val="C53E6F86"/>
    <w:lvl w:ilvl="0" w:tplc="39327AA0">
      <w:start w:val="1"/>
      <w:numFmt w:val="decimal"/>
      <w:lvlText w:val="%1."/>
      <w:lvlJc w:val="right"/>
      <w:pPr>
        <w:ind w:left="360" w:hanging="360"/>
      </w:pPr>
      <w:rPr>
        <w:rFonts w:ascii="Arial" w:eastAsia="Times New Roman" w:hAnsi="Arial" w:cs="Times New Roman"/>
      </w:rPr>
    </w:lvl>
    <w:lvl w:ilvl="1" w:tplc="0409001B">
      <w:start w:val="1"/>
      <w:numFmt w:val="lowerRoman"/>
      <w:lvlText w:val="%2."/>
      <w:lvlJc w:val="right"/>
      <w:pPr>
        <w:ind w:left="1080" w:hanging="360"/>
      </w:pPr>
      <w:rPr>
        <w:rFonts w:hint="default"/>
      </w:rPr>
    </w:lvl>
    <w:lvl w:ilvl="2" w:tplc="0C0C0019">
      <w:start w:val="1"/>
      <w:numFmt w:val="lowerLetter"/>
      <w:lvlText w:val="%3."/>
      <w:lvlJc w:val="left"/>
      <w:pPr>
        <w:ind w:left="1800" w:hanging="360"/>
      </w:pPr>
      <w:rPr>
        <w:rFont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4925876"/>
    <w:multiLevelType w:val="hybridMultilevel"/>
    <w:tmpl w:val="DF1E0A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5E93BA1"/>
    <w:multiLevelType w:val="hybridMultilevel"/>
    <w:tmpl w:val="7F4C004C"/>
    <w:lvl w:ilvl="0" w:tplc="0409000F">
      <w:start w:val="1"/>
      <w:numFmt w:val="decimal"/>
      <w:lvlText w:val="%1."/>
      <w:lvlJc w:val="left"/>
      <w:pPr>
        <w:ind w:left="861" w:hanging="360"/>
      </w:pPr>
      <w:rPr>
        <w:rFonts w:hint="default"/>
        <w:lang w:val="en-US"/>
      </w:rPr>
    </w:lvl>
    <w:lvl w:ilvl="1" w:tplc="351E0F98">
      <w:start w:val="1"/>
      <w:numFmt w:val="lowerLetter"/>
      <w:lvlText w:val="%2."/>
      <w:lvlJc w:val="left"/>
      <w:pPr>
        <w:ind w:left="2149" w:hanging="360"/>
      </w:pPr>
      <w:rPr>
        <w:rFonts w:hint="default"/>
      </w:rPr>
    </w:lvl>
    <w:lvl w:ilvl="2" w:tplc="1009001B">
      <w:start w:val="1"/>
      <w:numFmt w:val="lowerRoman"/>
      <w:lvlText w:val="%3."/>
      <w:lvlJc w:val="right"/>
      <w:pPr>
        <w:ind w:left="2377" w:hanging="180"/>
      </w:pPr>
    </w:lvl>
    <w:lvl w:ilvl="3" w:tplc="1009000F" w:tentative="1">
      <w:start w:val="1"/>
      <w:numFmt w:val="decimal"/>
      <w:lvlText w:val="%4."/>
      <w:lvlJc w:val="left"/>
      <w:pPr>
        <w:ind w:left="3097" w:hanging="360"/>
      </w:pPr>
    </w:lvl>
    <w:lvl w:ilvl="4" w:tplc="10090019" w:tentative="1">
      <w:start w:val="1"/>
      <w:numFmt w:val="lowerLetter"/>
      <w:lvlText w:val="%5."/>
      <w:lvlJc w:val="left"/>
      <w:pPr>
        <w:ind w:left="3817" w:hanging="360"/>
      </w:pPr>
    </w:lvl>
    <w:lvl w:ilvl="5" w:tplc="1009001B" w:tentative="1">
      <w:start w:val="1"/>
      <w:numFmt w:val="lowerRoman"/>
      <w:lvlText w:val="%6."/>
      <w:lvlJc w:val="right"/>
      <w:pPr>
        <w:ind w:left="4537" w:hanging="180"/>
      </w:pPr>
    </w:lvl>
    <w:lvl w:ilvl="6" w:tplc="1009000F" w:tentative="1">
      <w:start w:val="1"/>
      <w:numFmt w:val="decimal"/>
      <w:lvlText w:val="%7."/>
      <w:lvlJc w:val="left"/>
      <w:pPr>
        <w:ind w:left="5257" w:hanging="360"/>
      </w:pPr>
    </w:lvl>
    <w:lvl w:ilvl="7" w:tplc="10090019" w:tentative="1">
      <w:start w:val="1"/>
      <w:numFmt w:val="lowerLetter"/>
      <w:lvlText w:val="%8."/>
      <w:lvlJc w:val="left"/>
      <w:pPr>
        <w:ind w:left="5977" w:hanging="360"/>
      </w:pPr>
    </w:lvl>
    <w:lvl w:ilvl="8" w:tplc="1009001B" w:tentative="1">
      <w:start w:val="1"/>
      <w:numFmt w:val="lowerRoman"/>
      <w:lvlText w:val="%9."/>
      <w:lvlJc w:val="right"/>
      <w:pPr>
        <w:ind w:left="6697" w:hanging="180"/>
      </w:pPr>
    </w:lvl>
  </w:abstractNum>
  <w:abstractNum w:abstractNumId="8" w15:restartNumberingAfterBreak="0">
    <w:nsid w:val="16A737EF"/>
    <w:multiLevelType w:val="hybridMultilevel"/>
    <w:tmpl w:val="7396C0D0"/>
    <w:lvl w:ilvl="0" w:tplc="823A672C">
      <w:start w:val="1"/>
      <w:numFmt w:val="lowerRoman"/>
      <w:lvlText w:val="%1."/>
      <w:lvlJc w:val="left"/>
      <w:pPr>
        <w:ind w:left="1429" w:hanging="720"/>
      </w:pPr>
      <w:rPr>
        <w:rFonts w:ascii="Arial" w:eastAsia="Times New Roman" w:hAnsi="Arial" w:cs="Times New Roman"/>
      </w:rPr>
    </w:lvl>
    <w:lvl w:ilvl="1" w:tplc="0C0C0019" w:tentative="1">
      <w:start w:val="1"/>
      <w:numFmt w:val="lowerLetter"/>
      <w:lvlText w:val="%2."/>
      <w:lvlJc w:val="left"/>
      <w:pPr>
        <w:ind w:left="1789" w:hanging="360"/>
      </w:pPr>
    </w:lvl>
    <w:lvl w:ilvl="2" w:tplc="0C0C001B" w:tentative="1">
      <w:start w:val="1"/>
      <w:numFmt w:val="lowerRoman"/>
      <w:lvlText w:val="%3."/>
      <w:lvlJc w:val="right"/>
      <w:pPr>
        <w:ind w:left="2509" w:hanging="180"/>
      </w:pPr>
    </w:lvl>
    <w:lvl w:ilvl="3" w:tplc="0C0C000F" w:tentative="1">
      <w:start w:val="1"/>
      <w:numFmt w:val="decimal"/>
      <w:lvlText w:val="%4."/>
      <w:lvlJc w:val="left"/>
      <w:pPr>
        <w:ind w:left="3229" w:hanging="360"/>
      </w:pPr>
    </w:lvl>
    <w:lvl w:ilvl="4" w:tplc="0C0C0019" w:tentative="1">
      <w:start w:val="1"/>
      <w:numFmt w:val="lowerLetter"/>
      <w:lvlText w:val="%5."/>
      <w:lvlJc w:val="left"/>
      <w:pPr>
        <w:ind w:left="3949" w:hanging="360"/>
      </w:pPr>
    </w:lvl>
    <w:lvl w:ilvl="5" w:tplc="0C0C001B" w:tentative="1">
      <w:start w:val="1"/>
      <w:numFmt w:val="lowerRoman"/>
      <w:lvlText w:val="%6."/>
      <w:lvlJc w:val="right"/>
      <w:pPr>
        <w:ind w:left="4669" w:hanging="180"/>
      </w:pPr>
    </w:lvl>
    <w:lvl w:ilvl="6" w:tplc="0C0C000F" w:tentative="1">
      <w:start w:val="1"/>
      <w:numFmt w:val="decimal"/>
      <w:lvlText w:val="%7."/>
      <w:lvlJc w:val="left"/>
      <w:pPr>
        <w:ind w:left="5389" w:hanging="360"/>
      </w:pPr>
    </w:lvl>
    <w:lvl w:ilvl="7" w:tplc="0C0C0019" w:tentative="1">
      <w:start w:val="1"/>
      <w:numFmt w:val="lowerLetter"/>
      <w:lvlText w:val="%8."/>
      <w:lvlJc w:val="left"/>
      <w:pPr>
        <w:ind w:left="6109" w:hanging="360"/>
      </w:pPr>
    </w:lvl>
    <w:lvl w:ilvl="8" w:tplc="0C0C001B" w:tentative="1">
      <w:start w:val="1"/>
      <w:numFmt w:val="lowerRoman"/>
      <w:lvlText w:val="%9."/>
      <w:lvlJc w:val="right"/>
      <w:pPr>
        <w:ind w:left="6829" w:hanging="180"/>
      </w:pPr>
    </w:lvl>
  </w:abstractNum>
  <w:abstractNum w:abstractNumId="9" w15:restartNumberingAfterBreak="0">
    <w:nsid w:val="173920D4"/>
    <w:multiLevelType w:val="hybridMultilevel"/>
    <w:tmpl w:val="9D40482E"/>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 w15:restartNumberingAfterBreak="0">
    <w:nsid w:val="18CA325C"/>
    <w:multiLevelType w:val="hybridMultilevel"/>
    <w:tmpl w:val="688E875A"/>
    <w:lvl w:ilvl="0" w:tplc="0409001B">
      <w:start w:val="1"/>
      <w:numFmt w:val="lowerRoman"/>
      <w:lvlText w:val="%1."/>
      <w:lvlJc w:val="right"/>
      <w:pPr>
        <w:ind w:left="1069" w:hanging="360"/>
      </w:p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1" w15:restartNumberingAfterBreak="0">
    <w:nsid w:val="1AD750B6"/>
    <w:multiLevelType w:val="hybridMultilevel"/>
    <w:tmpl w:val="1E948470"/>
    <w:lvl w:ilvl="0" w:tplc="0C0C0001">
      <w:start w:val="1"/>
      <w:numFmt w:val="bullet"/>
      <w:lvlText w:val=""/>
      <w:lvlJc w:val="left"/>
      <w:pPr>
        <w:ind w:left="630" w:hanging="360"/>
      </w:pPr>
      <w:rPr>
        <w:rFonts w:ascii="Symbol" w:hAnsi="Symbol" w:hint="default"/>
      </w:rPr>
    </w:lvl>
    <w:lvl w:ilvl="1" w:tplc="0C0C0003" w:tentative="1">
      <w:start w:val="1"/>
      <w:numFmt w:val="bullet"/>
      <w:lvlText w:val="o"/>
      <w:lvlJc w:val="left"/>
      <w:pPr>
        <w:ind w:left="1350" w:hanging="360"/>
      </w:pPr>
      <w:rPr>
        <w:rFonts w:ascii="Courier New" w:hAnsi="Courier New" w:cs="Arial" w:hint="default"/>
      </w:rPr>
    </w:lvl>
    <w:lvl w:ilvl="2" w:tplc="0C0C0005" w:tentative="1">
      <w:start w:val="1"/>
      <w:numFmt w:val="bullet"/>
      <w:lvlText w:val=""/>
      <w:lvlJc w:val="left"/>
      <w:pPr>
        <w:ind w:left="2070" w:hanging="360"/>
      </w:pPr>
      <w:rPr>
        <w:rFonts w:ascii="Wingdings" w:hAnsi="Wingdings" w:hint="default"/>
      </w:rPr>
    </w:lvl>
    <w:lvl w:ilvl="3" w:tplc="0C0C0001" w:tentative="1">
      <w:start w:val="1"/>
      <w:numFmt w:val="bullet"/>
      <w:lvlText w:val=""/>
      <w:lvlJc w:val="left"/>
      <w:pPr>
        <w:ind w:left="2790" w:hanging="360"/>
      </w:pPr>
      <w:rPr>
        <w:rFonts w:ascii="Symbol" w:hAnsi="Symbol" w:hint="default"/>
      </w:rPr>
    </w:lvl>
    <w:lvl w:ilvl="4" w:tplc="0C0C0003" w:tentative="1">
      <w:start w:val="1"/>
      <w:numFmt w:val="bullet"/>
      <w:lvlText w:val="o"/>
      <w:lvlJc w:val="left"/>
      <w:pPr>
        <w:ind w:left="3510" w:hanging="360"/>
      </w:pPr>
      <w:rPr>
        <w:rFonts w:ascii="Courier New" w:hAnsi="Courier New" w:cs="Arial" w:hint="default"/>
      </w:rPr>
    </w:lvl>
    <w:lvl w:ilvl="5" w:tplc="0C0C0005" w:tentative="1">
      <w:start w:val="1"/>
      <w:numFmt w:val="bullet"/>
      <w:lvlText w:val=""/>
      <w:lvlJc w:val="left"/>
      <w:pPr>
        <w:ind w:left="4230" w:hanging="360"/>
      </w:pPr>
      <w:rPr>
        <w:rFonts w:ascii="Wingdings" w:hAnsi="Wingdings" w:hint="default"/>
      </w:rPr>
    </w:lvl>
    <w:lvl w:ilvl="6" w:tplc="0C0C0001" w:tentative="1">
      <w:start w:val="1"/>
      <w:numFmt w:val="bullet"/>
      <w:lvlText w:val=""/>
      <w:lvlJc w:val="left"/>
      <w:pPr>
        <w:ind w:left="4950" w:hanging="360"/>
      </w:pPr>
      <w:rPr>
        <w:rFonts w:ascii="Symbol" w:hAnsi="Symbol" w:hint="default"/>
      </w:rPr>
    </w:lvl>
    <w:lvl w:ilvl="7" w:tplc="0C0C0003" w:tentative="1">
      <w:start w:val="1"/>
      <w:numFmt w:val="bullet"/>
      <w:lvlText w:val="o"/>
      <w:lvlJc w:val="left"/>
      <w:pPr>
        <w:ind w:left="5670" w:hanging="360"/>
      </w:pPr>
      <w:rPr>
        <w:rFonts w:ascii="Courier New" w:hAnsi="Courier New" w:cs="Arial" w:hint="default"/>
      </w:rPr>
    </w:lvl>
    <w:lvl w:ilvl="8" w:tplc="0C0C0005" w:tentative="1">
      <w:start w:val="1"/>
      <w:numFmt w:val="bullet"/>
      <w:lvlText w:val=""/>
      <w:lvlJc w:val="left"/>
      <w:pPr>
        <w:ind w:left="6390" w:hanging="360"/>
      </w:pPr>
      <w:rPr>
        <w:rFonts w:ascii="Wingdings" w:hAnsi="Wingdings" w:hint="default"/>
      </w:rPr>
    </w:lvl>
  </w:abstractNum>
  <w:abstractNum w:abstractNumId="12" w15:restartNumberingAfterBreak="0">
    <w:nsid w:val="1E444731"/>
    <w:multiLevelType w:val="hybridMultilevel"/>
    <w:tmpl w:val="AC22219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22360B5"/>
    <w:multiLevelType w:val="hybridMultilevel"/>
    <w:tmpl w:val="AFC81B02"/>
    <w:lvl w:ilvl="0" w:tplc="0409000F">
      <w:start w:val="1"/>
      <w:numFmt w:val="decimal"/>
      <w:lvlText w:val="%1."/>
      <w:lvlJc w:val="left"/>
      <w:pPr>
        <w:ind w:left="1789" w:hanging="360"/>
      </w:pPr>
    </w:lvl>
    <w:lvl w:ilvl="1" w:tplc="04090019" w:tentative="1">
      <w:start w:val="1"/>
      <w:numFmt w:val="lowerLetter"/>
      <w:lvlText w:val="%2."/>
      <w:lvlJc w:val="left"/>
      <w:pPr>
        <w:ind w:left="2509" w:hanging="360"/>
      </w:pPr>
    </w:lvl>
    <w:lvl w:ilvl="2" w:tplc="0409001B" w:tentative="1">
      <w:start w:val="1"/>
      <w:numFmt w:val="lowerRoman"/>
      <w:lvlText w:val="%3."/>
      <w:lvlJc w:val="right"/>
      <w:pPr>
        <w:ind w:left="3229" w:hanging="180"/>
      </w:pPr>
    </w:lvl>
    <w:lvl w:ilvl="3" w:tplc="0409000F" w:tentative="1">
      <w:start w:val="1"/>
      <w:numFmt w:val="decimal"/>
      <w:lvlText w:val="%4."/>
      <w:lvlJc w:val="left"/>
      <w:pPr>
        <w:ind w:left="3949" w:hanging="360"/>
      </w:pPr>
    </w:lvl>
    <w:lvl w:ilvl="4" w:tplc="04090019" w:tentative="1">
      <w:start w:val="1"/>
      <w:numFmt w:val="lowerLetter"/>
      <w:lvlText w:val="%5."/>
      <w:lvlJc w:val="left"/>
      <w:pPr>
        <w:ind w:left="4669" w:hanging="360"/>
      </w:pPr>
    </w:lvl>
    <w:lvl w:ilvl="5" w:tplc="0409001B" w:tentative="1">
      <w:start w:val="1"/>
      <w:numFmt w:val="lowerRoman"/>
      <w:lvlText w:val="%6."/>
      <w:lvlJc w:val="right"/>
      <w:pPr>
        <w:ind w:left="5389" w:hanging="180"/>
      </w:pPr>
    </w:lvl>
    <w:lvl w:ilvl="6" w:tplc="0409000F" w:tentative="1">
      <w:start w:val="1"/>
      <w:numFmt w:val="decimal"/>
      <w:lvlText w:val="%7."/>
      <w:lvlJc w:val="left"/>
      <w:pPr>
        <w:ind w:left="6109" w:hanging="360"/>
      </w:pPr>
    </w:lvl>
    <w:lvl w:ilvl="7" w:tplc="04090019" w:tentative="1">
      <w:start w:val="1"/>
      <w:numFmt w:val="lowerLetter"/>
      <w:lvlText w:val="%8."/>
      <w:lvlJc w:val="left"/>
      <w:pPr>
        <w:ind w:left="6829" w:hanging="360"/>
      </w:pPr>
    </w:lvl>
    <w:lvl w:ilvl="8" w:tplc="0409001B" w:tentative="1">
      <w:start w:val="1"/>
      <w:numFmt w:val="lowerRoman"/>
      <w:lvlText w:val="%9."/>
      <w:lvlJc w:val="right"/>
      <w:pPr>
        <w:ind w:left="7549" w:hanging="180"/>
      </w:pPr>
    </w:lvl>
  </w:abstractNum>
  <w:abstractNum w:abstractNumId="14" w15:restartNumberingAfterBreak="0">
    <w:nsid w:val="25AD1A3F"/>
    <w:multiLevelType w:val="hybridMultilevel"/>
    <w:tmpl w:val="47C85672"/>
    <w:lvl w:ilvl="0" w:tplc="5BDC91C0">
      <w:start w:val="1"/>
      <w:numFmt w:val="bullet"/>
      <w:lvlText w:val=""/>
      <w:lvlJc w:val="left"/>
      <w:pPr>
        <w:ind w:left="360" w:hanging="360"/>
      </w:pPr>
      <w:rPr>
        <w:rFonts w:ascii="Symbol" w:hAnsi="Symbol" w:hint="default"/>
      </w:rPr>
    </w:lvl>
    <w:lvl w:ilvl="1" w:tplc="0A0A7EA6" w:tentative="1">
      <w:start w:val="1"/>
      <w:numFmt w:val="bullet"/>
      <w:lvlText w:val="o"/>
      <w:lvlJc w:val="left"/>
      <w:pPr>
        <w:ind w:left="1080" w:hanging="360"/>
      </w:pPr>
      <w:rPr>
        <w:rFonts w:ascii="Courier New" w:hAnsi="Courier New" w:cs="Arial" w:hint="default"/>
      </w:rPr>
    </w:lvl>
    <w:lvl w:ilvl="2" w:tplc="4DFE95AC" w:tentative="1">
      <w:start w:val="1"/>
      <w:numFmt w:val="bullet"/>
      <w:lvlText w:val=""/>
      <w:lvlJc w:val="left"/>
      <w:pPr>
        <w:ind w:left="1800" w:hanging="360"/>
      </w:pPr>
      <w:rPr>
        <w:rFonts w:ascii="Wingdings" w:hAnsi="Wingdings" w:hint="default"/>
      </w:rPr>
    </w:lvl>
    <w:lvl w:ilvl="3" w:tplc="815C2B16" w:tentative="1">
      <w:start w:val="1"/>
      <w:numFmt w:val="bullet"/>
      <w:lvlText w:val=""/>
      <w:lvlJc w:val="left"/>
      <w:pPr>
        <w:ind w:left="2520" w:hanging="360"/>
      </w:pPr>
      <w:rPr>
        <w:rFonts w:ascii="Symbol" w:hAnsi="Symbol" w:hint="default"/>
      </w:rPr>
    </w:lvl>
    <w:lvl w:ilvl="4" w:tplc="5D444E84" w:tentative="1">
      <w:start w:val="1"/>
      <w:numFmt w:val="bullet"/>
      <w:lvlText w:val="o"/>
      <w:lvlJc w:val="left"/>
      <w:pPr>
        <w:ind w:left="3240" w:hanging="360"/>
      </w:pPr>
      <w:rPr>
        <w:rFonts w:ascii="Courier New" w:hAnsi="Courier New" w:cs="Arial" w:hint="default"/>
      </w:rPr>
    </w:lvl>
    <w:lvl w:ilvl="5" w:tplc="884C5242" w:tentative="1">
      <w:start w:val="1"/>
      <w:numFmt w:val="bullet"/>
      <w:lvlText w:val=""/>
      <w:lvlJc w:val="left"/>
      <w:pPr>
        <w:ind w:left="3960" w:hanging="360"/>
      </w:pPr>
      <w:rPr>
        <w:rFonts w:ascii="Wingdings" w:hAnsi="Wingdings" w:hint="default"/>
      </w:rPr>
    </w:lvl>
    <w:lvl w:ilvl="6" w:tplc="3FC4B4CC" w:tentative="1">
      <w:start w:val="1"/>
      <w:numFmt w:val="bullet"/>
      <w:lvlText w:val=""/>
      <w:lvlJc w:val="left"/>
      <w:pPr>
        <w:ind w:left="4680" w:hanging="360"/>
      </w:pPr>
      <w:rPr>
        <w:rFonts w:ascii="Symbol" w:hAnsi="Symbol" w:hint="default"/>
      </w:rPr>
    </w:lvl>
    <w:lvl w:ilvl="7" w:tplc="6D1C3C6E" w:tentative="1">
      <w:start w:val="1"/>
      <w:numFmt w:val="bullet"/>
      <w:lvlText w:val="o"/>
      <w:lvlJc w:val="left"/>
      <w:pPr>
        <w:ind w:left="5400" w:hanging="360"/>
      </w:pPr>
      <w:rPr>
        <w:rFonts w:ascii="Courier New" w:hAnsi="Courier New" w:cs="Arial" w:hint="default"/>
      </w:rPr>
    </w:lvl>
    <w:lvl w:ilvl="8" w:tplc="CFAEDF4A" w:tentative="1">
      <w:start w:val="1"/>
      <w:numFmt w:val="bullet"/>
      <w:lvlText w:val=""/>
      <w:lvlJc w:val="left"/>
      <w:pPr>
        <w:ind w:left="6120" w:hanging="360"/>
      </w:pPr>
      <w:rPr>
        <w:rFonts w:ascii="Wingdings" w:hAnsi="Wingdings" w:hint="default"/>
      </w:rPr>
    </w:lvl>
  </w:abstractNum>
  <w:abstractNum w:abstractNumId="15" w15:restartNumberingAfterBreak="0">
    <w:nsid w:val="29FD0DF4"/>
    <w:multiLevelType w:val="hybridMultilevel"/>
    <w:tmpl w:val="78388B32"/>
    <w:lvl w:ilvl="0" w:tplc="D1A8A042">
      <w:numFmt w:val="bullet"/>
      <w:lvlText w:val="-"/>
      <w:lvlJc w:val="left"/>
      <w:pPr>
        <w:ind w:left="900" w:hanging="360"/>
      </w:pPr>
      <w:rPr>
        <w:rFonts w:ascii="Calibri" w:eastAsiaTheme="minorHAnsi" w:hAnsi="Calibri" w:cstheme="minorBidi"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2A036529"/>
    <w:multiLevelType w:val="hybridMultilevel"/>
    <w:tmpl w:val="464649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012C86"/>
    <w:multiLevelType w:val="hybridMultilevel"/>
    <w:tmpl w:val="8C622B10"/>
    <w:lvl w:ilvl="0" w:tplc="0409000F">
      <w:start w:val="1"/>
      <w:numFmt w:val="decimal"/>
      <w:lvlText w:val="%1."/>
      <w:lvlJc w:val="left"/>
      <w:pPr>
        <w:ind w:left="501" w:hanging="360"/>
      </w:p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18" w15:restartNumberingAfterBreak="0">
    <w:nsid w:val="45905CB9"/>
    <w:multiLevelType w:val="hybridMultilevel"/>
    <w:tmpl w:val="1CDA1D84"/>
    <w:lvl w:ilvl="0" w:tplc="0409001B">
      <w:start w:val="1"/>
      <w:numFmt w:val="lowerRoman"/>
      <w:lvlText w:val="%1."/>
      <w:lvlJc w:val="right"/>
      <w:pPr>
        <w:ind w:left="1069" w:hanging="360"/>
      </w:p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9" w15:restartNumberingAfterBreak="0">
    <w:nsid w:val="46E33942"/>
    <w:multiLevelType w:val="hybridMultilevel"/>
    <w:tmpl w:val="D374BC00"/>
    <w:lvl w:ilvl="0" w:tplc="0409001B">
      <w:start w:val="1"/>
      <w:numFmt w:val="lowerRoman"/>
      <w:lvlText w:val="%1."/>
      <w:lvlJc w:val="right"/>
      <w:pPr>
        <w:ind w:left="1069" w:hanging="360"/>
      </w:p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0" w15:restartNumberingAfterBreak="0">
    <w:nsid w:val="4A375553"/>
    <w:multiLevelType w:val="hybridMultilevel"/>
    <w:tmpl w:val="30E06D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4297CB2"/>
    <w:multiLevelType w:val="hybridMultilevel"/>
    <w:tmpl w:val="1CDA1D84"/>
    <w:lvl w:ilvl="0" w:tplc="0409001B">
      <w:start w:val="1"/>
      <w:numFmt w:val="lowerRoman"/>
      <w:lvlText w:val="%1."/>
      <w:lvlJc w:val="right"/>
      <w:pPr>
        <w:ind w:left="1069" w:hanging="360"/>
      </w:p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2" w15:restartNumberingAfterBreak="0">
    <w:nsid w:val="5FE34B32"/>
    <w:multiLevelType w:val="hybridMultilevel"/>
    <w:tmpl w:val="E96202DE"/>
    <w:lvl w:ilvl="0" w:tplc="0409001B">
      <w:start w:val="1"/>
      <w:numFmt w:val="lowerRoman"/>
      <w:lvlText w:val="%1."/>
      <w:lvlJc w:val="right"/>
      <w:pPr>
        <w:ind w:left="1069" w:hanging="360"/>
      </w:pPr>
      <w:rPr>
        <w:rFonts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23" w15:restartNumberingAfterBreak="0">
    <w:nsid w:val="652C1F15"/>
    <w:multiLevelType w:val="hybridMultilevel"/>
    <w:tmpl w:val="40A421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689B55E7"/>
    <w:multiLevelType w:val="hybridMultilevel"/>
    <w:tmpl w:val="68E6B9DE"/>
    <w:lvl w:ilvl="0" w:tplc="0409001B">
      <w:start w:val="1"/>
      <w:numFmt w:val="lowerRoman"/>
      <w:lvlText w:val="%1."/>
      <w:lvlJc w:val="right"/>
      <w:pPr>
        <w:ind w:left="1069" w:hanging="360"/>
      </w:pPr>
    </w:lvl>
    <w:lvl w:ilvl="1" w:tplc="04090019">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5" w15:restartNumberingAfterBreak="0">
    <w:nsid w:val="69971E7A"/>
    <w:multiLevelType w:val="hybridMultilevel"/>
    <w:tmpl w:val="E6562B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6E2B3E60"/>
    <w:multiLevelType w:val="hybridMultilevel"/>
    <w:tmpl w:val="C0F05A14"/>
    <w:lvl w:ilvl="0" w:tplc="29F858BE">
      <w:start w:val="1"/>
      <w:numFmt w:val="decimal"/>
      <w:lvlText w:val="%1."/>
      <w:lvlJc w:val="left"/>
      <w:pPr>
        <w:ind w:left="501" w:hanging="360"/>
      </w:pPr>
      <w:rPr>
        <w:rFonts w:hint="default"/>
        <w:b/>
        <w:lang w:val="en-US"/>
      </w:rPr>
    </w:lvl>
    <w:lvl w:ilvl="1" w:tplc="351E0F98">
      <w:start w:val="1"/>
      <w:numFmt w:val="lowerLetter"/>
      <w:lvlText w:val="%2."/>
      <w:lvlJc w:val="left"/>
      <w:pPr>
        <w:ind w:left="1789" w:hanging="360"/>
      </w:pPr>
      <w:rPr>
        <w:rFonts w:hint="default"/>
      </w:rPr>
    </w:lvl>
    <w:lvl w:ilvl="2" w:tplc="1009001B">
      <w:start w:val="1"/>
      <w:numFmt w:val="lowerRoman"/>
      <w:lvlText w:val="%3."/>
      <w:lvlJc w:val="right"/>
      <w:pPr>
        <w:ind w:left="2017" w:hanging="180"/>
      </w:pPr>
    </w:lvl>
    <w:lvl w:ilvl="3" w:tplc="1009000F" w:tentative="1">
      <w:start w:val="1"/>
      <w:numFmt w:val="decimal"/>
      <w:lvlText w:val="%4."/>
      <w:lvlJc w:val="left"/>
      <w:pPr>
        <w:ind w:left="2737" w:hanging="360"/>
      </w:pPr>
    </w:lvl>
    <w:lvl w:ilvl="4" w:tplc="10090019" w:tentative="1">
      <w:start w:val="1"/>
      <w:numFmt w:val="lowerLetter"/>
      <w:lvlText w:val="%5."/>
      <w:lvlJc w:val="left"/>
      <w:pPr>
        <w:ind w:left="3457" w:hanging="360"/>
      </w:pPr>
    </w:lvl>
    <w:lvl w:ilvl="5" w:tplc="1009001B" w:tentative="1">
      <w:start w:val="1"/>
      <w:numFmt w:val="lowerRoman"/>
      <w:lvlText w:val="%6."/>
      <w:lvlJc w:val="right"/>
      <w:pPr>
        <w:ind w:left="4177" w:hanging="180"/>
      </w:pPr>
    </w:lvl>
    <w:lvl w:ilvl="6" w:tplc="1009000F" w:tentative="1">
      <w:start w:val="1"/>
      <w:numFmt w:val="decimal"/>
      <w:lvlText w:val="%7."/>
      <w:lvlJc w:val="left"/>
      <w:pPr>
        <w:ind w:left="4897" w:hanging="360"/>
      </w:pPr>
    </w:lvl>
    <w:lvl w:ilvl="7" w:tplc="10090019" w:tentative="1">
      <w:start w:val="1"/>
      <w:numFmt w:val="lowerLetter"/>
      <w:lvlText w:val="%8."/>
      <w:lvlJc w:val="left"/>
      <w:pPr>
        <w:ind w:left="5617" w:hanging="360"/>
      </w:pPr>
    </w:lvl>
    <w:lvl w:ilvl="8" w:tplc="1009001B" w:tentative="1">
      <w:start w:val="1"/>
      <w:numFmt w:val="lowerRoman"/>
      <w:lvlText w:val="%9."/>
      <w:lvlJc w:val="right"/>
      <w:pPr>
        <w:ind w:left="6337" w:hanging="180"/>
      </w:pPr>
    </w:lvl>
  </w:abstractNum>
  <w:abstractNum w:abstractNumId="27" w15:restartNumberingAfterBreak="0">
    <w:nsid w:val="706C3A01"/>
    <w:multiLevelType w:val="hybridMultilevel"/>
    <w:tmpl w:val="05E8CE58"/>
    <w:lvl w:ilvl="0" w:tplc="0409000F">
      <w:start w:val="1"/>
      <w:numFmt w:val="decimal"/>
      <w:lvlText w:val="%1."/>
      <w:lvlJc w:val="left"/>
      <w:pPr>
        <w:ind w:left="501" w:hanging="360"/>
      </w:p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28" w15:restartNumberingAfterBreak="0">
    <w:nsid w:val="719C34D1"/>
    <w:multiLevelType w:val="hybridMultilevel"/>
    <w:tmpl w:val="DF14AC68"/>
    <w:lvl w:ilvl="0" w:tplc="0409001B">
      <w:start w:val="1"/>
      <w:numFmt w:val="lowerRoman"/>
      <w:lvlText w:val="%1."/>
      <w:lvlJc w:val="right"/>
      <w:pPr>
        <w:ind w:left="1069" w:hanging="360"/>
      </w:pPr>
    </w:lvl>
    <w:lvl w:ilvl="1" w:tplc="04090019">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9" w15:restartNumberingAfterBreak="0">
    <w:nsid w:val="721730F7"/>
    <w:multiLevelType w:val="hybridMultilevel"/>
    <w:tmpl w:val="825A50E4"/>
    <w:lvl w:ilvl="0" w:tplc="0409001B">
      <w:start w:val="1"/>
      <w:numFmt w:val="lowerRoman"/>
      <w:lvlText w:val="%1."/>
      <w:lvlJc w:val="right"/>
      <w:pPr>
        <w:ind w:left="1069" w:hanging="360"/>
      </w:pPr>
      <w:rPr>
        <w:rFonts w:hint="default"/>
        <w:lang w:val="en-US"/>
      </w:rPr>
    </w:lvl>
    <w:lvl w:ilvl="1" w:tplc="10090019">
      <w:start w:val="1"/>
      <w:numFmt w:val="lowerLetter"/>
      <w:lvlText w:val="%2."/>
      <w:lvlJc w:val="left"/>
      <w:pPr>
        <w:ind w:left="1865" w:hanging="360"/>
      </w:pPr>
    </w:lvl>
    <w:lvl w:ilvl="2" w:tplc="1009001B">
      <w:start w:val="1"/>
      <w:numFmt w:val="lowerRoman"/>
      <w:lvlText w:val="%3."/>
      <w:lvlJc w:val="right"/>
      <w:pPr>
        <w:ind w:left="2585" w:hanging="180"/>
      </w:pPr>
    </w:lvl>
    <w:lvl w:ilvl="3" w:tplc="1009000F" w:tentative="1">
      <w:start w:val="1"/>
      <w:numFmt w:val="decimal"/>
      <w:lvlText w:val="%4."/>
      <w:lvlJc w:val="left"/>
      <w:pPr>
        <w:ind w:left="3305" w:hanging="360"/>
      </w:pPr>
    </w:lvl>
    <w:lvl w:ilvl="4" w:tplc="10090019" w:tentative="1">
      <w:start w:val="1"/>
      <w:numFmt w:val="lowerLetter"/>
      <w:lvlText w:val="%5."/>
      <w:lvlJc w:val="left"/>
      <w:pPr>
        <w:ind w:left="4025" w:hanging="360"/>
      </w:pPr>
    </w:lvl>
    <w:lvl w:ilvl="5" w:tplc="1009001B" w:tentative="1">
      <w:start w:val="1"/>
      <w:numFmt w:val="lowerRoman"/>
      <w:lvlText w:val="%6."/>
      <w:lvlJc w:val="right"/>
      <w:pPr>
        <w:ind w:left="4745" w:hanging="180"/>
      </w:pPr>
    </w:lvl>
    <w:lvl w:ilvl="6" w:tplc="1009000F" w:tentative="1">
      <w:start w:val="1"/>
      <w:numFmt w:val="decimal"/>
      <w:lvlText w:val="%7."/>
      <w:lvlJc w:val="left"/>
      <w:pPr>
        <w:ind w:left="5465" w:hanging="360"/>
      </w:pPr>
    </w:lvl>
    <w:lvl w:ilvl="7" w:tplc="10090019" w:tentative="1">
      <w:start w:val="1"/>
      <w:numFmt w:val="lowerLetter"/>
      <w:lvlText w:val="%8."/>
      <w:lvlJc w:val="left"/>
      <w:pPr>
        <w:ind w:left="6185" w:hanging="360"/>
      </w:pPr>
    </w:lvl>
    <w:lvl w:ilvl="8" w:tplc="1009001B" w:tentative="1">
      <w:start w:val="1"/>
      <w:numFmt w:val="lowerRoman"/>
      <w:lvlText w:val="%9."/>
      <w:lvlJc w:val="right"/>
      <w:pPr>
        <w:ind w:left="6905" w:hanging="180"/>
      </w:pPr>
    </w:lvl>
  </w:abstractNum>
  <w:abstractNum w:abstractNumId="30" w15:restartNumberingAfterBreak="0">
    <w:nsid w:val="73357F1A"/>
    <w:multiLevelType w:val="hybridMultilevel"/>
    <w:tmpl w:val="D46264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73915983"/>
    <w:multiLevelType w:val="hybridMultilevel"/>
    <w:tmpl w:val="3176CB88"/>
    <w:lvl w:ilvl="0" w:tplc="C144E40A">
      <w:start w:val="1"/>
      <w:numFmt w:val="lowerRoman"/>
      <w:lvlText w:val="%1."/>
      <w:lvlJc w:val="left"/>
      <w:pPr>
        <w:ind w:left="861" w:hanging="360"/>
      </w:pPr>
      <w:rPr>
        <w:rFonts w:ascii="Arial" w:eastAsia="Times New Roman" w:hAnsi="Arial" w:cs="Times New Roman"/>
        <w:lang w:val="en-US"/>
      </w:rPr>
    </w:lvl>
    <w:lvl w:ilvl="1" w:tplc="351E0F98">
      <w:start w:val="1"/>
      <w:numFmt w:val="lowerLetter"/>
      <w:lvlText w:val="%2."/>
      <w:lvlJc w:val="left"/>
      <w:pPr>
        <w:ind w:left="2149" w:hanging="360"/>
      </w:pPr>
      <w:rPr>
        <w:rFonts w:hint="default"/>
      </w:rPr>
    </w:lvl>
    <w:lvl w:ilvl="2" w:tplc="1009001B">
      <w:start w:val="1"/>
      <w:numFmt w:val="lowerRoman"/>
      <w:lvlText w:val="%3."/>
      <w:lvlJc w:val="right"/>
      <w:pPr>
        <w:ind w:left="2377" w:hanging="180"/>
      </w:pPr>
    </w:lvl>
    <w:lvl w:ilvl="3" w:tplc="1009000F" w:tentative="1">
      <w:start w:val="1"/>
      <w:numFmt w:val="decimal"/>
      <w:lvlText w:val="%4."/>
      <w:lvlJc w:val="left"/>
      <w:pPr>
        <w:ind w:left="3097" w:hanging="360"/>
      </w:pPr>
    </w:lvl>
    <w:lvl w:ilvl="4" w:tplc="10090019" w:tentative="1">
      <w:start w:val="1"/>
      <w:numFmt w:val="lowerLetter"/>
      <w:lvlText w:val="%5."/>
      <w:lvlJc w:val="left"/>
      <w:pPr>
        <w:ind w:left="3817" w:hanging="360"/>
      </w:pPr>
    </w:lvl>
    <w:lvl w:ilvl="5" w:tplc="1009001B" w:tentative="1">
      <w:start w:val="1"/>
      <w:numFmt w:val="lowerRoman"/>
      <w:lvlText w:val="%6."/>
      <w:lvlJc w:val="right"/>
      <w:pPr>
        <w:ind w:left="4537" w:hanging="180"/>
      </w:pPr>
    </w:lvl>
    <w:lvl w:ilvl="6" w:tplc="1009000F" w:tentative="1">
      <w:start w:val="1"/>
      <w:numFmt w:val="decimal"/>
      <w:lvlText w:val="%7."/>
      <w:lvlJc w:val="left"/>
      <w:pPr>
        <w:ind w:left="5257" w:hanging="360"/>
      </w:pPr>
    </w:lvl>
    <w:lvl w:ilvl="7" w:tplc="10090019" w:tentative="1">
      <w:start w:val="1"/>
      <w:numFmt w:val="lowerLetter"/>
      <w:lvlText w:val="%8."/>
      <w:lvlJc w:val="left"/>
      <w:pPr>
        <w:ind w:left="5977" w:hanging="360"/>
      </w:pPr>
    </w:lvl>
    <w:lvl w:ilvl="8" w:tplc="1009001B" w:tentative="1">
      <w:start w:val="1"/>
      <w:numFmt w:val="lowerRoman"/>
      <w:lvlText w:val="%9."/>
      <w:lvlJc w:val="right"/>
      <w:pPr>
        <w:ind w:left="6697" w:hanging="180"/>
      </w:pPr>
    </w:lvl>
  </w:abstractNum>
  <w:abstractNum w:abstractNumId="32" w15:restartNumberingAfterBreak="0">
    <w:nsid w:val="73A13A00"/>
    <w:multiLevelType w:val="hybridMultilevel"/>
    <w:tmpl w:val="AAD2EC56"/>
    <w:lvl w:ilvl="0" w:tplc="0409001B">
      <w:start w:val="1"/>
      <w:numFmt w:val="lowerRoman"/>
      <w:lvlText w:val="%1."/>
      <w:lvlJc w:val="right"/>
      <w:pPr>
        <w:ind w:left="1069" w:hanging="360"/>
      </w:p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num w:numId="1">
    <w:abstractNumId w:val="14"/>
  </w:num>
  <w:num w:numId="2">
    <w:abstractNumId w:val="11"/>
  </w:num>
  <w:num w:numId="3">
    <w:abstractNumId w:val="2"/>
  </w:num>
  <w:num w:numId="4">
    <w:abstractNumId w:val="6"/>
  </w:num>
  <w:num w:numId="5">
    <w:abstractNumId w:val="23"/>
  </w:num>
  <w:num w:numId="6">
    <w:abstractNumId w:val="25"/>
  </w:num>
  <w:num w:numId="7">
    <w:abstractNumId w:val="12"/>
  </w:num>
  <w:num w:numId="8">
    <w:abstractNumId w:val="30"/>
  </w:num>
  <w:num w:numId="9">
    <w:abstractNumId w:val="9"/>
  </w:num>
  <w:num w:numId="10">
    <w:abstractNumId w:val="15"/>
  </w:num>
  <w:num w:numId="11">
    <w:abstractNumId w:val="26"/>
  </w:num>
  <w:num w:numId="12">
    <w:abstractNumId w:val="5"/>
  </w:num>
  <w:num w:numId="13">
    <w:abstractNumId w:val="3"/>
  </w:num>
  <w:num w:numId="14">
    <w:abstractNumId w:val="28"/>
  </w:num>
  <w:num w:numId="15">
    <w:abstractNumId w:val="17"/>
  </w:num>
  <w:num w:numId="16">
    <w:abstractNumId w:val="27"/>
  </w:num>
  <w:num w:numId="17">
    <w:abstractNumId w:val="16"/>
  </w:num>
  <w:num w:numId="18">
    <w:abstractNumId w:val="13"/>
  </w:num>
  <w:num w:numId="19">
    <w:abstractNumId w:val="20"/>
  </w:num>
  <w:num w:numId="20">
    <w:abstractNumId w:val="24"/>
  </w:num>
  <w:num w:numId="21">
    <w:abstractNumId w:val="29"/>
  </w:num>
  <w:num w:numId="22">
    <w:abstractNumId w:val="10"/>
  </w:num>
  <w:num w:numId="23">
    <w:abstractNumId w:val="32"/>
  </w:num>
  <w:num w:numId="24">
    <w:abstractNumId w:val="21"/>
  </w:num>
  <w:num w:numId="25">
    <w:abstractNumId w:val="22"/>
  </w:num>
  <w:num w:numId="26">
    <w:abstractNumId w:val="19"/>
  </w:num>
  <w:num w:numId="27">
    <w:abstractNumId w:val="7"/>
  </w:num>
  <w:num w:numId="28">
    <w:abstractNumId w:val="31"/>
  </w:num>
  <w:num w:numId="29">
    <w:abstractNumId w:val="8"/>
  </w:num>
  <w:num w:numId="30">
    <w:abstractNumId w:val="4"/>
  </w:num>
  <w:num w:numId="31">
    <w:abstractNumId w:val="1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9"/>
  <w:autoHyphenation/>
  <w:hyphenationZone w:val="432"/>
  <w:displayHorizontalDrawingGridEvery w:val="0"/>
  <w:displayVerticalDrawingGridEvery w:val="0"/>
  <w:doNotUseMarginsForDrawingGridOrigin/>
  <w:noPunctuationKerning/>
  <w:characterSpacingControl w:val="doNotCompress"/>
  <w:hdrShapeDefaults>
    <o:shapedefaults v:ext="edit" spidmax="2049">
      <o:colormru v:ext="edit" colors="#f8f8f8"/>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DC7"/>
    <w:rsid w:val="00002604"/>
    <w:rsid w:val="000049EF"/>
    <w:rsid w:val="00012FFA"/>
    <w:rsid w:val="00013573"/>
    <w:rsid w:val="0001602C"/>
    <w:rsid w:val="000178EC"/>
    <w:rsid w:val="00017FA1"/>
    <w:rsid w:val="000322CB"/>
    <w:rsid w:val="00032F60"/>
    <w:rsid w:val="00033D71"/>
    <w:rsid w:val="00035966"/>
    <w:rsid w:val="00041324"/>
    <w:rsid w:val="00042647"/>
    <w:rsid w:val="0004348B"/>
    <w:rsid w:val="0004500B"/>
    <w:rsid w:val="00052DC7"/>
    <w:rsid w:val="00056328"/>
    <w:rsid w:val="00057645"/>
    <w:rsid w:val="00061906"/>
    <w:rsid w:val="00062124"/>
    <w:rsid w:val="00062B8E"/>
    <w:rsid w:val="0006580A"/>
    <w:rsid w:val="00072A64"/>
    <w:rsid w:val="0007630A"/>
    <w:rsid w:val="00076DDF"/>
    <w:rsid w:val="0008069A"/>
    <w:rsid w:val="00081A3A"/>
    <w:rsid w:val="000824FA"/>
    <w:rsid w:val="00084A8D"/>
    <w:rsid w:val="00085459"/>
    <w:rsid w:val="00093E40"/>
    <w:rsid w:val="00094804"/>
    <w:rsid w:val="000B0672"/>
    <w:rsid w:val="000B1066"/>
    <w:rsid w:val="000B108C"/>
    <w:rsid w:val="000B2069"/>
    <w:rsid w:val="000C4E71"/>
    <w:rsid w:val="000C4EBA"/>
    <w:rsid w:val="000D091F"/>
    <w:rsid w:val="000D7D16"/>
    <w:rsid w:val="000E0263"/>
    <w:rsid w:val="000E09FC"/>
    <w:rsid w:val="000E7CF3"/>
    <w:rsid w:val="000F418C"/>
    <w:rsid w:val="000F4CF2"/>
    <w:rsid w:val="000F5B6E"/>
    <w:rsid w:val="000F7490"/>
    <w:rsid w:val="00102566"/>
    <w:rsid w:val="00103B75"/>
    <w:rsid w:val="0010486A"/>
    <w:rsid w:val="001061C2"/>
    <w:rsid w:val="00107504"/>
    <w:rsid w:val="00111C39"/>
    <w:rsid w:val="00111D6C"/>
    <w:rsid w:val="0011288E"/>
    <w:rsid w:val="00114B3B"/>
    <w:rsid w:val="00123850"/>
    <w:rsid w:val="001276F1"/>
    <w:rsid w:val="001317B4"/>
    <w:rsid w:val="001345A2"/>
    <w:rsid w:val="00145810"/>
    <w:rsid w:val="00147680"/>
    <w:rsid w:val="001478D9"/>
    <w:rsid w:val="0015041A"/>
    <w:rsid w:val="00150A30"/>
    <w:rsid w:val="00156AE3"/>
    <w:rsid w:val="00157067"/>
    <w:rsid w:val="001658F8"/>
    <w:rsid w:val="001736E0"/>
    <w:rsid w:val="00181159"/>
    <w:rsid w:val="00185EB4"/>
    <w:rsid w:val="00186EE6"/>
    <w:rsid w:val="0019044A"/>
    <w:rsid w:val="00190EC4"/>
    <w:rsid w:val="00190F9F"/>
    <w:rsid w:val="00195415"/>
    <w:rsid w:val="001A2ECE"/>
    <w:rsid w:val="001A4F45"/>
    <w:rsid w:val="001B03CE"/>
    <w:rsid w:val="001B0713"/>
    <w:rsid w:val="001B0D1A"/>
    <w:rsid w:val="001B1014"/>
    <w:rsid w:val="001B1828"/>
    <w:rsid w:val="001B21C2"/>
    <w:rsid w:val="001B4558"/>
    <w:rsid w:val="001B6CAD"/>
    <w:rsid w:val="001B7203"/>
    <w:rsid w:val="001C373D"/>
    <w:rsid w:val="001C58E0"/>
    <w:rsid w:val="001D1D55"/>
    <w:rsid w:val="001D3AB2"/>
    <w:rsid w:val="001E04CF"/>
    <w:rsid w:val="001E2807"/>
    <w:rsid w:val="001E3668"/>
    <w:rsid w:val="001E3718"/>
    <w:rsid w:val="001E591E"/>
    <w:rsid w:val="001E6152"/>
    <w:rsid w:val="001E6279"/>
    <w:rsid w:val="001E7818"/>
    <w:rsid w:val="001E7BB2"/>
    <w:rsid w:val="001F1EC1"/>
    <w:rsid w:val="001F3FDD"/>
    <w:rsid w:val="001F592F"/>
    <w:rsid w:val="001F5DB4"/>
    <w:rsid w:val="00200CBD"/>
    <w:rsid w:val="00201959"/>
    <w:rsid w:val="00202B37"/>
    <w:rsid w:val="0020596A"/>
    <w:rsid w:val="00205F4D"/>
    <w:rsid w:val="00207D0F"/>
    <w:rsid w:val="00212414"/>
    <w:rsid w:val="00212D5E"/>
    <w:rsid w:val="00213FCD"/>
    <w:rsid w:val="00214006"/>
    <w:rsid w:val="00215CE7"/>
    <w:rsid w:val="00216616"/>
    <w:rsid w:val="00223911"/>
    <w:rsid w:val="00226116"/>
    <w:rsid w:val="00234106"/>
    <w:rsid w:val="0023680E"/>
    <w:rsid w:val="00241103"/>
    <w:rsid w:val="00241D6E"/>
    <w:rsid w:val="002470B6"/>
    <w:rsid w:val="002532B7"/>
    <w:rsid w:val="00260199"/>
    <w:rsid w:val="00260F99"/>
    <w:rsid w:val="00261CC2"/>
    <w:rsid w:val="002639AD"/>
    <w:rsid w:val="00265E72"/>
    <w:rsid w:val="00273D49"/>
    <w:rsid w:val="002740A1"/>
    <w:rsid w:val="002841B2"/>
    <w:rsid w:val="00287816"/>
    <w:rsid w:val="002916E9"/>
    <w:rsid w:val="0029277D"/>
    <w:rsid w:val="0029566E"/>
    <w:rsid w:val="00295E50"/>
    <w:rsid w:val="002A5DE6"/>
    <w:rsid w:val="002A6DB3"/>
    <w:rsid w:val="002A7B40"/>
    <w:rsid w:val="002B105A"/>
    <w:rsid w:val="002B1EFE"/>
    <w:rsid w:val="002B2177"/>
    <w:rsid w:val="002C116E"/>
    <w:rsid w:val="002C1EE2"/>
    <w:rsid w:val="002C54FD"/>
    <w:rsid w:val="002D1266"/>
    <w:rsid w:val="002D22D5"/>
    <w:rsid w:val="002D5EBC"/>
    <w:rsid w:val="002E0837"/>
    <w:rsid w:val="002E38BC"/>
    <w:rsid w:val="002E7C8F"/>
    <w:rsid w:val="002F1BD3"/>
    <w:rsid w:val="002F34ED"/>
    <w:rsid w:val="002F7FF1"/>
    <w:rsid w:val="00302921"/>
    <w:rsid w:val="0030723D"/>
    <w:rsid w:val="00307DD6"/>
    <w:rsid w:val="00315143"/>
    <w:rsid w:val="00317CDE"/>
    <w:rsid w:val="00320FBE"/>
    <w:rsid w:val="00322E40"/>
    <w:rsid w:val="0032340D"/>
    <w:rsid w:val="00323903"/>
    <w:rsid w:val="00324090"/>
    <w:rsid w:val="003357F9"/>
    <w:rsid w:val="00337252"/>
    <w:rsid w:val="00343AD1"/>
    <w:rsid w:val="00346548"/>
    <w:rsid w:val="00350BA2"/>
    <w:rsid w:val="0035191D"/>
    <w:rsid w:val="00352766"/>
    <w:rsid w:val="0035314A"/>
    <w:rsid w:val="0035346D"/>
    <w:rsid w:val="00362867"/>
    <w:rsid w:val="00362BAB"/>
    <w:rsid w:val="003637C3"/>
    <w:rsid w:val="003669A1"/>
    <w:rsid w:val="00371CDF"/>
    <w:rsid w:val="00381C34"/>
    <w:rsid w:val="003833BE"/>
    <w:rsid w:val="003845D1"/>
    <w:rsid w:val="00386B9D"/>
    <w:rsid w:val="00390631"/>
    <w:rsid w:val="00391721"/>
    <w:rsid w:val="00392709"/>
    <w:rsid w:val="0039519B"/>
    <w:rsid w:val="003A0167"/>
    <w:rsid w:val="003A108F"/>
    <w:rsid w:val="003A1656"/>
    <w:rsid w:val="003A28E8"/>
    <w:rsid w:val="003A49D2"/>
    <w:rsid w:val="003A69B1"/>
    <w:rsid w:val="003B1A81"/>
    <w:rsid w:val="003B1DCC"/>
    <w:rsid w:val="003C07C0"/>
    <w:rsid w:val="003C2847"/>
    <w:rsid w:val="003C3CA3"/>
    <w:rsid w:val="003C5050"/>
    <w:rsid w:val="003D2D27"/>
    <w:rsid w:val="003D3277"/>
    <w:rsid w:val="003D4138"/>
    <w:rsid w:val="003D5947"/>
    <w:rsid w:val="003E3542"/>
    <w:rsid w:val="003F3E93"/>
    <w:rsid w:val="004057BB"/>
    <w:rsid w:val="00406030"/>
    <w:rsid w:val="004127BF"/>
    <w:rsid w:val="00414655"/>
    <w:rsid w:val="00415660"/>
    <w:rsid w:val="0042522E"/>
    <w:rsid w:val="00430A54"/>
    <w:rsid w:val="004315E9"/>
    <w:rsid w:val="004316E3"/>
    <w:rsid w:val="00433D0C"/>
    <w:rsid w:val="004354F4"/>
    <w:rsid w:val="00435CB7"/>
    <w:rsid w:val="00436A25"/>
    <w:rsid w:val="0043712F"/>
    <w:rsid w:val="004372D7"/>
    <w:rsid w:val="00454E51"/>
    <w:rsid w:val="004564B5"/>
    <w:rsid w:val="00460319"/>
    <w:rsid w:val="004629A4"/>
    <w:rsid w:val="00462D43"/>
    <w:rsid w:val="0046312F"/>
    <w:rsid w:val="00463D28"/>
    <w:rsid w:val="00465418"/>
    <w:rsid w:val="004704A7"/>
    <w:rsid w:val="00476083"/>
    <w:rsid w:val="004801ED"/>
    <w:rsid w:val="00480ECA"/>
    <w:rsid w:val="0048411B"/>
    <w:rsid w:val="004855B6"/>
    <w:rsid w:val="004862AD"/>
    <w:rsid w:val="004961DD"/>
    <w:rsid w:val="004A1F4F"/>
    <w:rsid w:val="004A35FB"/>
    <w:rsid w:val="004A393B"/>
    <w:rsid w:val="004A4B11"/>
    <w:rsid w:val="004A5ED1"/>
    <w:rsid w:val="004A62B2"/>
    <w:rsid w:val="004B1120"/>
    <w:rsid w:val="004B47A7"/>
    <w:rsid w:val="004B4D1E"/>
    <w:rsid w:val="004B5782"/>
    <w:rsid w:val="004B58FD"/>
    <w:rsid w:val="004B6320"/>
    <w:rsid w:val="004B7666"/>
    <w:rsid w:val="004C324D"/>
    <w:rsid w:val="004C47F2"/>
    <w:rsid w:val="004C7B30"/>
    <w:rsid w:val="004D2616"/>
    <w:rsid w:val="004D35C3"/>
    <w:rsid w:val="004D49A6"/>
    <w:rsid w:val="004D541B"/>
    <w:rsid w:val="004D5EAD"/>
    <w:rsid w:val="004E02FA"/>
    <w:rsid w:val="004E1F7B"/>
    <w:rsid w:val="004E57C6"/>
    <w:rsid w:val="004E6589"/>
    <w:rsid w:val="004F2FFB"/>
    <w:rsid w:val="004F5B53"/>
    <w:rsid w:val="004F7832"/>
    <w:rsid w:val="00500F6B"/>
    <w:rsid w:val="0051489F"/>
    <w:rsid w:val="00515461"/>
    <w:rsid w:val="005160DF"/>
    <w:rsid w:val="005201B1"/>
    <w:rsid w:val="00522574"/>
    <w:rsid w:val="00522AEE"/>
    <w:rsid w:val="00524907"/>
    <w:rsid w:val="0053363D"/>
    <w:rsid w:val="0054186A"/>
    <w:rsid w:val="00544172"/>
    <w:rsid w:val="005458BB"/>
    <w:rsid w:val="00547657"/>
    <w:rsid w:val="005511C3"/>
    <w:rsid w:val="0055226D"/>
    <w:rsid w:val="00552D40"/>
    <w:rsid w:val="00555CF7"/>
    <w:rsid w:val="005609BD"/>
    <w:rsid w:val="005630B7"/>
    <w:rsid w:val="00563F46"/>
    <w:rsid w:val="00567809"/>
    <w:rsid w:val="005713B9"/>
    <w:rsid w:val="00573379"/>
    <w:rsid w:val="00573E09"/>
    <w:rsid w:val="005760CA"/>
    <w:rsid w:val="005766FB"/>
    <w:rsid w:val="0058213F"/>
    <w:rsid w:val="005834AA"/>
    <w:rsid w:val="00583B7D"/>
    <w:rsid w:val="00595E69"/>
    <w:rsid w:val="0059608E"/>
    <w:rsid w:val="00596A5A"/>
    <w:rsid w:val="005A327D"/>
    <w:rsid w:val="005A5254"/>
    <w:rsid w:val="005B1784"/>
    <w:rsid w:val="005C2268"/>
    <w:rsid w:val="005D02FF"/>
    <w:rsid w:val="005D0839"/>
    <w:rsid w:val="005D7BBC"/>
    <w:rsid w:val="005E0673"/>
    <w:rsid w:val="005E06CB"/>
    <w:rsid w:val="005F2B4D"/>
    <w:rsid w:val="005F4F4C"/>
    <w:rsid w:val="005F50F3"/>
    <w:rsid w:val="005F51DF"/>
    <w:rsid w:val="005F6BE7"/>
    <w:rsid w:val="006012AC"/>
    <w:rsid w:val="00601990"/>
    <w:rsid w:val="00601AD3"/>
    <w:rsid w:val="00602A94"/>
    <w:rsid w:val="00603F4C"/>
    <w:rsid w:val="00607CA4"/>
    <w:rsid w:val="00610AB7"/>
    <w:rsid w:val="00610C92"/>
    <w:rsid w:val="00613C38"/>
    <w:rsid w:val="0061509C"/>
    <w:rsid w:val="00615F05"/>
    <w:rsid w:val="00617484"/>
    <w:rsid w:val="0062251F"/>
    <w:rsid w:val="006241E9"/>
    <w:rsid w:val="00625673"/>
    <w:rsid w:val="006266DA"/>
    <w:rsid w:val="00627D21"/>
    <w:rsid w:val="00631094"/>
    <w:rsid w:val="00634D0D"/>
    <w:rsid w:val="00635DA0"/>
    <w:rsid w:val="00647F45"/>
    <w:rsid w:val="00650085"/>
    <w:rsid w:val="006515DF"/>
    <w:rsid w:val="006528E4"/>
    <w:rsid w:val="00652F97"/>
    <w:rsid w:val="00655B00"/>
    <w:rsid w:val="006577E0"/>
    <w:rsid w:val="006630D7"/>
    <w:rsid w:val="00663145"/>
    <w:rsid w:val="0066346E"/>
    <w:rsid w:val="00663746"/>
    <w:rsid w:val="00671BCA"/>
    <w:rsid w:val="006767B2"/>
    <w:rsid w:val="00680171"/>
    <w:rsid w:val="00681CA6"/>
    <w:rsid w:val="00681E4A"/>
    <w:rsid w:val="006854D6"/>
    <w:rsid w:val="006861E7"/>
    <w:rsid w:val="00686212"/>
    <w:rsid w:val="0069168F"/>
    <w:rsid w:val="006928ED"/>
    <w:rsid w:val="00697329"/>
    <w:rsid w:val="00697A57"/>
    <w:rsid w:val="006A0E2D"/>
    <w:rsid w:val="006A1508"/>
    <w:rsid w:val="006B1BEA"/>
    <w:rsid w:val="006C41D3"/>
    <w:rsid w:val="006C5555"/>
    <w:rsid w:val="006D0290"/>
    <w:rsid w:val="006D0490"/>
    <w:rsid w:val="006D4B75"/>
    <w:rsid w:val="006D5F15"/>
    <w:rsid w:val="006E6CA9"/>
    <w:rsid w:val="006F17EE"/>
    <w:rsid w:val="006F2B80"/>
    <w:rsid w:val="006F5122"/>
    <w:rsid w:val="006F6FEC"/>
    <w:rsid w:val="006F7EFC"/>
    <w:rsid w:val="00702022"/>
    <w:rsid w:val="0070355B"/>
    <w:rsid w:val="00714605"/>
    <w:rsid w:val="00715034"/>
    <w:rsid w:val="00721069"/>
    <w:rsid w:val="00723EF0"/>
    <w:rsid w:val="007306FE"/>
    <w:rsid w:val="00731EE7"/>
    <w:rsid w:val="00735B36"/>
    <w:rsid w:val="00741BF2"/>
    <w:rsid w:val="00745335"/>
    <w:rsid w:val="00745867"/>
    <w:rsid w:val="00756110"/>
    <w:rsid w:val="007625A4"/>
    <w:rsid w:val="00764388"/>
    <w:rsid w:val="00771895"/>
    <w:rsid w:val="00771F35"/>
    <w:rsid w:val="00774747"/>
    <w:rsid w:val="0077484E"/>
    <w:rsid w:val="007755E5"/>
    <w:rsid w:val="00776D75"/>
    <w:rsid w:val="007776B7"/>
    <w:rsid w:val="00784349"/>
    <w:rsid w:val="00784797"/>
    <w:rsid w:val="00785F4C"/>
    <w:rsid w:val="00790D7E"/>
    <w:rsid w:val="00796B57"/>
    <w:rsid w:val="007A7328"/>
    <w:rsid w:val="007B027C"/>
    <w:rsid w:val="007B5C2A"/>
    <w:rsid w:val="007C528E"/>
    <w:rsid w:val="007C723C"/>
    <w:rsid w:val="007C7A1E"/>
    <w:rsid w:val="007D0FD2"/>
    <w:rsid w:val="007D19FA"/>
    <w:rsid w:val="007D1CE4"/>
    <w:rsid w:val="007D213A"/>
    <w:rsid w:val="007D2464"/>
    <w:rsid w:val="007D4F30"/>
    <w:rsid w:val="007D51C9"/>
    <w:rsid w:val="007D5773"/>
    <w:rsid w:val="007E1572"/>
    <w:rsid w:val="007E16B8"/>
    <w:rsid w:val="007E6C2B"/>
    <w:rsid w:val="007F4766"/>
    <w:rsid w:val="007F7E9B"/>
    <w:rsid w:val="00801216"/>
    <w:rsid w:val="0080507B"/>
    <w:rsid w:val="008136A2"/>
    <w:rsid w:val="0081544B"/>
    <w:rsid w:val="00825010"/>
    <w:rsid w:val="00825679"/>
    <w:rsid w:val="00835120"/>
    <w:rsid w:val="00840F93"/>
    <w:rsid w:val="00841BCE"/>
    <w:rsid w:val="00845AA7"/>
    <w:rsid w:val="00847CD5"/>
    <w:rsid w:val="0085249C"/>
    <w:rsid w:val="0085541C"/>
    <w:rsid w:val="00863FAC"/>
    <w:rsid w:val="0086423A"/>
    <w:rsid w:val="00871442"/>
    <w:rsid w:val="00871F96"/>
    <w:rsid w:val="00872DD3"/>
    <w:rsid w:val="00875597"/>
    <w:rsid w:val="008768C6"/>
    <w:rsid w:val="00885CD2"/>
    <w:rsid w:val="008949DF"/>
    <w:rsid w:val="00894FD7"/>
    <w:rsid w:val="00897C73"/>
    <w:rsid w:val="008A4A0E"/>
    <w:rsid w:val="008A67B5"/>
    <w:rsid w:val="008B0F0F"/>
    <w:rsid w:val="008B2468"/>
    <w:rsid w:val="008B2FCA"/>
    <w:rsid w:val="008B7180"/>
    <w:rsid w:val="008C3B32"/>
    <w:rsid w:val="008C47CD"/>
    <w:rsid w:val="008C548E"/>
    <w:rsid w:val="008C6387"/>
    <w:rsid w:val="008D0675"/>
    <w:rsid w:val="008D075D"/>
    <w:rsid w:val="008D08F4"/>
    <w:rsid w:val="008D43A2"/>
    <w:rsid w:val="008E19FA"/>
    <w:rsid w:val="008E21EC"/>
    <w:rsid w:val="008E2F7A"/>
    <w:rsid w:val="008E4A41"/>
    <w:rsid w:val="008E580C"/>
    <w:rsid w:val="008E667E"/>
    <w:rsid w:val="008F07DE"/>
    <w:rsid w:val="008F0CBE"/>
    <w:rsid w:val="008F2CDE"/>
    <w:rsid w:val="00901055"/>
    <w:rsid w:val="00914260"/>
    <w:rsid w:val="00916543"/>
    <w:rsid w:val="00916646"/>
    <w:rsid w:val="00916CEB"/>
    <w:rsid w:val="00925902"/>
    <w:rsid w:val="00926276"/>
    <w:rsid w:val="00930E41"/>
    <w:rsid w:val="00931465"/>
    <w:rsid w:val="009339ED"/>
    <w:rsid w:val="00936221"/>
    <w:rsid w:val="009363A7"/>
    <w:rsid w:val="00936820"/>
    <w:rsid w:val="00944391"/>
    <w:rsid w:val="0094554F"/>
    <w:rsid w:val="00945808"/>
    <w:rsid w:val="00947858"/>
    <w:rsid w:val="00951854"/>
    <w:rsid w:val="00952EC8"/>
    <w:rsid w:val="00953CC5"/>
    <w:rsid w:val="00953D37"/>
    <w:rsid w:val="009569E5"/>
    <w:rsid w:val="00957299"/>
    <w:rsid w:val="00961FBB"/>
    <w:rsid w:val="00962D27"/>
    <w:rsid w:val="009666A7"/>
    <w:rsid w:val="009758BF"/>
    <w:rsid w:val="00981048"/>
    <w:rsid w:val="009820BA"/>
    <w:rsid w:val="00986ABF"/>
    <w:rsid w:val="00986EC4"/>
    <w:rsid w:val="00992815"/>
    <w:rsid w:val="00993DCE"/>
    <w:rsid w:val="009A0343"/>
    <w:rsid w:val="009A654E"/>
    <w:rsid w:val="009A77C6"/>
    <w:rsid w:val="009B079C"/>
    <w:rsid w:val="009B1879"/>
    <w:rsid w:val="009B2A43"/>
    <w:rsid w:val="009B3295"/>
    <w:rsid w:val="009B3570"/>
    <w:rsid w:val="009B3AC0"/>
    <w:rsid w:val="009B5046"/>
    <w:rsid w:val="009B51F6"/>
    <w:rsid w:val="009B60BA"/>
    <w:rsid w:val="009B6B75"/>
    <w:rsid w:val="009C125D"/>
    <w:rsid w:val="009C1446"/>
    <w:rsid w:val="009C6E20"/>
    <w:rsid w:val="009D34D7"/>
    <w:rsid w:val="009D41B5"/>
    <w:rsid w:val="009D5AD7"/>
    <w:rsid w:val="009D6B03"/>
    <w:rsid w:val="009E080D"/>
    <w:rsid w:val="009E432A"/>
    <w:rsid w:val="009F0319"/>
    <w:rsid w:val="009F164C"/>
    <w:rsid w:val="009F2117"/>
    <w:rsid w:val="009F7FE5"/>
    <w:rsid w:val="00A03780"/>
    <w:rsid w:val="00A046ED"/>
    <w:rsid w:val="00A1150D"/>
    <w:rsid w:val="00A13DB7"/>
    <w:rsid w:val="00A156FB"/>
    <w:rsid w:val="00A32F73"/>
    <w:rsid w:val="00A34F07"/>
    <w:rsid w:val="00A359A1"/>
    <w:rsid w:val="00A360DF"/>
    <w:rsid w:val="00A37266"/>
    <w:rsid w:val="00A37D43"/>
    <w:rsid w:val="00A40BBB"/>
    <w:rsid w:val="00A414AE"/>
    <w:rsid w:val="00A41ABC"/>
    <w:rsid w:val="00A44CF2"/>
    <w:rsid w:val="00A451BA"/>
    <w:rsid w:val="00A46F6B"/>
    <w:rsid w:val="00A52726"/>
    <w:rsid w:val="00A61195"/>
    <w:rsid w:val="00A70F54"/>
    <w:rsid w:val="00A721A1"/>
    <w:rsid w:val="00A726D2"/>
    <w:rsid w:val="00A72AE8"/>
    <w:rsid w:val="00A747B1"/>
    <w:rsid w:val="00A84704"/>
    <w:rsid w:val="00A85E82"/>
    <w:rsid w:val="00A86932"/>
    <w:rsid w:val="00A92738"/>
    <w:rsid w:val="00A94C6A"/>
    <w:rsid w:val="00A94CC7"/>
    <w:rsid w:val="00A9722A"/>
    <w:rsid w:val="00AA60E9"/>
    <w:rsid w:val="00AA63D8"/>
    <w:rsid w:val="00AA6680"/>
    <w:rsid w:val="00AA6E02"/>
    <w:rsid w:val="00AA7DD7"/>
    <w:rsid w:val="00AB0E8F"/>
    <w:rsid w:val="00AB1B31"/>
    <w:rsid w:val="00AB1EB4"/>
    <w:rsid w:val="00AB353D"/>
    <w:rsid w:val="00AB4135"/>
    <w:rsid w:val="00AB474E"/>
    <w:rsid w:val="00AB4835"/>
    <w:rsid w:val="00AB7262"/>
    <w:rsid w:val="00AB7A5F"/>
    <w:rsid w:val="00AC12CA"/>
    <w:rsid w:val="00AC7C6A"/>
    <w:rsid w:val="00AD44F6"/>
    <w:rsid w:val="00AE0828"/>
    <w:rsid w:val="00AE45D1"/>
    <w:rsid w:val="00AE50AF"/>
    <w:rsid w:val="00AE5EB8"/>
    <w:rsid w:val="00AE69BF"/>
    <w:rsid w:val="00AE7D1B"/>
    <w:rsid w:val="00AF2CAF"/>
    <w:rsid w:val="00AF4000"/>
    <w:rsid w:val="00B002FC"/>
    <w:rsid w:val="00B02A08"/>
    <w:rsid w:val="00B1341C"/>
    <w:rsid w:val="00B21835"/>
    <w:rsid w:val="00B21A27"/>
    <w:rsid w:val="00B22961"/>
    <w:rsid w:val="00B25410"/>
    <w:rsid w:val="00B27718"/>
    <w:rsid w:val="00B3748B"/>
    <w:rsid w:val="00B41D5B"/>
    <w:rsid w:val="00B42901"/>
    <w:rsid w:val="00B4540B"/>
    <w:rsid w:val="00B534EF"/>
    <w:rsid w:val="00B579DF"/>
    <w:rsid w:val="00B64A51"/>
    <w:rsid w:val="00B65048"/>
    <w:rsid w:val="00B65F4A"/>
    <w:rsid w:val="00B668D4"/>
    <w:rsid w:val="00B66DB5"/>
    <w:rsid w:val="00B7049F"/>
    <w:rsid w:val="00B71AA5"/>
    <w:rsid w:val="00B72C2B"/>
    <w:rsid w:val="00B7531D"/>
    <w:rsid w:val="00B77B37"/>
    <w:rsid w:val="00B83EE2"/>
    <w:rsid w:val="00B8725C"/>
    <w:rsid w:val="00B91734"/>
    <w:rsid w:val="00B93BD0"/>
    <w:rsid w:val="00B95422"/>
    <w:rsid w:val="00B96DAD"/>
    <w:rsid w:val="00BA0C5F"/>
    <w:rsid w:val="00BA1237"/>
    <w:rsid w:val="00BA5ABC"/>
    <w:rsid w:val="00BB3106"/>
    <w:rsid w:val="00BB5D07"/>
    <w:rsid w:val="00BB6AF3"/>
    <w:rsid w:val="00BC0A06"/>
    <w:rsid w:val="00BC16FB"/>
    <w:rsid w:val="00BC4090"/>
    <w:rsid w:val="00BC7B88"/>
    <w:rsid w:val="00BD1997"/>
    <w:rsid w:val="00BE15BF"/>
    <w:rsid w:val="00BE2655"/>
    <w:rsid w:val="00BE2E56"/>
    <w:rsid w:val="00BE7FED"/>
    <w:rsid w:val="00BF039F"/>
    <w:rsid w:val="00BF1E8C"/>
    <w:rsid w:val="00BF24F9"/>
    <w:rsid w:val="00BF2B77"/>
    <w:rsid w:val="00BF328C"/>
    <w:rsid w:val="00BF3975"/>
    <w:rsid w:val="00C05611"/>
    <w:rsid w:val="00C102BC"/>
    <w:rsid w:val="00C15947"/>
    <w:rsid w:val="00C16C62"/>
    <w:rsid w:val="00C16F91"/>
    <w:rsid w:val="00C232EC"/>
    <w:rsid w:val="00C27733"/>
    <w:rsid w:val="00C35504"/>
    <w:rsid w:val="00C3602F"/>
    <w:rsid w:val="00C4513A"/>
    <w:rsid w:val="00C45458"/>
    <w:rsid w:val="00C52FD0"/>
    <w:rsid w:val="00C53072"/>
    <w:rsid w:val="00C53A74"/>
    <w:rsid w:val="00C57899"/>
    <w:rsid w:val="00C71A4A"/>
    <w:rsid w:val="00C71ABF"/>
    <w:rsid w:val="00C71B46"/>
    <w:rsid w:val="00C729F8"/>
    <w:rsid w:val="00C74C3C"/>
    <w:rsid w:val="00C77D00"/>
    <w:rsid w:val="00C83748"/>
    <w:rsid w:val="00C861AD"/>
    <w:rsid w:val="00C86903"/>
    <w:rsid w:val="00C93BD1"/>
    <w:rsid w:val="00C96712"/>
    <w:rsid w:val="00C9683F"/>
    <w:rsid w:val="00C976B9"/>
    <w:rsid w:val="00CA07B5"/>
    <w:rsid w:val="00CA1A0E"/>
    <w:rsid w:val="00CA3A4A"/>
    <w:rsid w:val="00CA56EC"/>
    <w:rsid w:val="00CA7136"/>
    <w:rsid w:val="00CA7146"/>
    <w:rsid w:val="00CB6C58"/>
    <w:rsid w:val="00CC552E"/>
    <w:rsid w:val="00CD5A24"/>
    <w:rsid w:val="00CD640C"/>
    <w:rsid w:val="00CD7509"/>
    <w:rsid w:val="00CE0168"/>
    <w:rsid w:val="00CE480C"/>
    <w:rsid w:val="00CE539C"/>
    <w:rsid w:val="00CE5AFF"/>
    <w:rsid w:val="00CE6A4F"/>
    <w:rsid w:val="00CF192F"/>
    <w:rsid w:val="00CF3C6E"/>
    <w:rsid w:val="00CF563D"/>
    <w:rsid w:val="00CF5956"/>
    <w:rsid w:val="00CF5C55"/>
    <w:rsid w:val="00CF6577"/>
    <w:rsid w:val="00D00885"/>
    <w:rsid w:val="00D03585"/>
    <w:rsid w:val="00D06E1F"/>
    <w:rsid w:val="00D07EBA"/>
    <w:rsid w:val="00D11966"/>
    <w:rsid w:val="00D11F98"/>
    <w:rsid w:val="00D12B12"/>
    <w:rsid w:val="00D13DE6"/>
    <w:rsid w:val="00D1406C"/>
    <w:rsid w:val="00D2036F"/>
    <w:rsid w:val="00D20649"/>
    <w:rsid w:val="00D211F9"/>
    <w:rsid w:val="00D21935"/>
    <w:rsid w:val="00D24883"/>
    <w:rsid w:val="00D25561"/>
    <w:rsid w:val="00D3489E"/>
    <w:rsid w:val="00D34926"/>
    <w:rsid w:val="00D35A5B"/>
    <w:rsid w:val="00D40E0B"/>
    <w:rsid w:val="00D4262E"/>
    <w:rsid w:val="00D477A1"/>
    <w:rsid w:val="00D50710"/>
    <w:rsid w:val="00D56D9E"/>
    <w:rsid w:val="00D6224F"/>
    <w:rsid w:val="00D6528E"/>
    <w:rsid w:val="00D65A64"/>
    <w:rsid w:val="00D67233"/>
    <w:rsid w:val="00D718FB"/>
    <w:rsid w:val="00D756A6"/>
    <w:rsid w:val="00D83C7F"/>
    <w:rsid w:val="00D90EBE"/>
    <w:rsid w:val="00D91BF2"/>
    <w:rsid w:val="00D960D8"/>
    <w:rsid w:val="00DA1F76"/>
    <w:rsid w:val="00DA21A1"/>
    <w:rsid w:val="00DA2C08"/>
    <w:rsid w:val="00DA36EE"/>
    <w:rsid w:val="00DA3AD2"/>
    <w:rsid w:val="00DA400A"/>
    <w:rsid w:val="00DA75A3"/>
    <w:rsid w:val="00DA79DE"/>
    <w:rsid w:val="00DB2065"/>
    <w:rsid w:val="00DB2C95"/>
    <w:rsid w:val="00DC0378"/>
    <w:rsid w:val="00DC08DC"/>
    <w:rsid w:val="00DC267A"/>
    <w:rsid w:val="00DC5B4A"/>
    <w:rsid w:val="00DC67C4"/>
    <w:rsid w:val="00DC68E1"/>
    <w:rsid w:val="00DD185F"/>
    <w:rsid w:val="00DD37EC"/>
    <w:rsid w:val="00DD528B"/>
    <w:rsid w:val="00DD6A78"/>
    <w:rsid w:val="00DD79EA"/>
    <w:rsid w:val="00DE4807"/>
    <w:rsid w:val="00DE5571"/>
    <w:rsid w:val="00DE5F02"/>
    <w:rsid w:val="00DE78D5"/>
    <w:rsid w:val="00DE7B84"/>
    <w:rsid w:val="00DF0B4A"/>
    <w:rsid w:val="00DF0DBC"/>
    <w:rsid w:val="00DF3A1C"/>
    <w:rsid w:val="00DF4D35"/>
    <w:rsid w:val="00DF614C"/>
    <w:rsid w:val="00DF66A5"/>
    <w:rsid w:val="00DF71A4"/>
    <w:rsid w:val="00DF7957"/>
    <w:rsid w:val="00DF7A70"/>
    <w:rsid w:val="00E02717"/>
    <w:rsid w:val="00E03971"/>
    <w:rsid w:val="00E06587"/>
    <w:rsid w:val="00E07FF6"/>
    <w:rsid w:val="00E108B5"/>
    <w:rsid w:val="00E15CF1"/>
    <w:rsid w:val="00E16025"/>
    <w:rsid w:val="00E17A24"/>
    <w:rsid w:val="00E20AF9"/>
    <w:rsid w:val="00E23553"/>
    <w:rsid w:val="00E25218"/>
    <w:rsid w:val="00E26DBE"/>
    <w:rsid w:val="00E26EED"/>
    <w:rsid w:val="00E2722C"/>
    <w:rsid w:val="00E27EA2"/>
    <w:rsid w:val="00E34301"/>
    <w:rsid w:val="00E35D8E"/>
    <w:rsid w:val="00E43B33"/>
    <w:rsid w:val="00E44553"/>
    <w:rsid w:val="00E44E18"/>
    <w:rsid w:val="00E45028"/>
    <w:rsid w:val="00E46613"/>
    <w:rsid w:val="00E46D13"/>
    <w:rsid w:val="00E51AF8"/>
    <w:rsid w:val="00E51BEE"/>
    <w:rsid w:val="00E51CC9"/>
    <w:rsid w:val="00E53232"/>
    <w:rsid w:val="00E53966"/>
    <w:rsid w:val="00E55D03"/>
    <w:rsid w:val="00E6068C"/>
    <w:rsid w:val="00E6117B"/>
    <w:rsid w:val="00E65A39"/>
    <w:rsid w:val="00E74CB0"/>
    <w:rsid w:val="00E75431"/>
    <w:rsid w:val="00E8434E"/>
    <w:rsid w:val="00E8454F"/>
    <w:rsid w:val="00E9351B"/>
    <w:rsid w:val="00E9513C"/>
    <w:rsid w:val="00E971A8"/>
    <w:rsid w:val="00EA02AB"/>
    <w:rsid w:val="00EA14B4"/>
    <w:rsid w:val="00EA2B58"/>
    <w:rsid w:val="00EA47E7"/>
    <w:rsid w:val="00EA745F"/>
    <w:rsid w:val="00EB0DA3"/>
    <w:rsid w:val="00EB12EE"/>
    <w:rsid w:val="00EB133C"/>
    <w:rsid w:val="00EC0369"/>
    <w:rsid w:val="00EC264D"/>
    <w:rsid w:val="00ED4DEC"/>
    <w:rsid w:val="00ED7782"/>
    <w:rsid w:val="00ED78E3"/>
    <w:rsid w:val="00EE0A23"/>
    <w:rsid w:val="00EE1243"/>
    <w:rsid w:val="00EE142E"/>
    <w:rsid w:val="00EE1574"/>
    <w:rsid w:val="00EE1955"/>
    <w:rsid w:val="00EE7596"/>
    <w:rsid w:val="00EF153C"/>
    <w:rsid w:val="00EF53E2"/>
    <w:rsid w:val="00EF5C3A"/>
    <w:rsid w:val="00F019F4"/>
    <w:rsid w:val="00F02D0A"/>
    <w:rsid w:val="00F07C08"/>
    <w:rsid w:val="00F10C26"/>
    <w:rsid w:val="00F1329E"/>
    <w:rsid w:val="00F13BF5"/>
    <w:rsid w:val="00F14CF9"/>
    <w:rsid w:val="00F1778A"/>
    <w:rsid w:val="00F17C9C"/>
    <w:rsid w:val="00F200F2"/>
    <w:rsid w:val="00F239A0"/>
    <w:rsid w:val="00F2650C"/>
    <w:rsid w:val="00F31DFE"/>
    <w:rsid w:val="00F360C0"/>
    <w:rsid w:val="00F37AF0"/>
    <w:rsid w:val="00F37E99"/>
    <w:rsid w:val="00F41778"/>
    <w:rsid w:val="00F42282"/>
    <w:rsid w:val="00F42AC4"/>
    <w:rsid w:val="00F43081"/>
    <w:rsid w:val="00F4381D"/>
    <w:rsid w:val="00F44424"/>
    <w:rsid w:val="00F533D4"/>
    <w:rsid w:val="00F544F8"/>
    <w:rsid w:val="00F549E6"/>
    <w:rsid w:val="00F55A4A"/>
    <w:rsid w:val="00F569B5"/>
    <w:rsid w:val="00F57EE9"/>
    <w:rsid w:val="00F64922"/>
    <w:rsid w:val="00F64952"/>
    <w:rsid w:val="00F675C8"/>
    <w:rsid w:val="00F739C4"/>
    <w:rsid w:val="00F74BF4"/>
    <w:rsid w:val="00F7562F"/>
    <w:rsid w:val="00F842AB"/>
    <w:rsid w:val="00F84E87"/>
    <w:rsid w:val="00FA0BC1"/>
    <w:rsid w:val="00FA384B"/>
    <w:rsid w:val="00FA4B44"/>
    <w:rsid w:val="00FA5314"/>
    <w:rsid w:val="00FA60AF"/>
    <w:rsid w:val="00FA6FCD"/>
    <w:rsid w:val="00FA77A4"/>
    <w:rsid w:val="00FB0DF8"/>
    <w:rsid w:val="00FB4A6F"/>
    <w:rsid w:val="00FB58C5"/>
    <w:rsid w:val="00FB6595"/>
    <w:rsid w:val="00FC4172"/>
    <w:rsid w:val="00FD4F18"/>
    <w:rsid w:val="00FE06BA"/>
    <w:rsid w:val="00FE0F92"/>
    <w:rsid w:val="00FE2365"/>
    <w:rsid w:val="00FE590C"/>
    <w:rsid w:val="00FE6BED"/>
    <w:rsid w:val="00FF196F"/>
    <w:rsid w:val="00FF4D88"/>
    <w:rsid w:val="00FF567B"/>
    <w:rsid w:val="00FF7ACB"/>
  </w:rsids>
  <m:mathPr>
    <m:mathFont m:val="Cambria Math"/>
    <m:brkBin m:val="before"/>
    <m:brkBinSub m:val="--"/>
    <m:smallFrac/>
    <m:dispDef/>
    <m:lMargin m:val="0"/>
    <m:rMargin m:val="0"/>
    <m:defJc m:val="centerGroup"/>
    <m:wrapIndent m:val="1440"/>
    <m:intLim m:val="subSup"/>
    <m:naryLim m:val="undOvr"/>
  </m:mathPr>
  <w:themeFontLang w:val="fr-CA" w:eastAsia="ja-JP"/>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f8f8f8"/>
    </o:shapedefaults>
    <o:shapelayout v:ext="edit">
      <o:idmap v:ext="edit" data="1"/>
    </o:shapelayout>
  </w:shapeDefaults>
  <w:decimalSymbol w:val=","/>
  <w:listSeparator w:val=";"/>
  <w14:docId w14:val="55BA8DB4"/>
  <w15:docId w15:val="{E06B4E56-2AE0-4AD6-9EDB-FB98E7DF5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fr-CA" w:eastAsia="fr-CA" w:bidi="ar-SA"/>
      </w:rPr>
    </w:rPrDefault>
    <w:pPrDefault/>
  </w:docDefaults>
  <w:latentStyles w:defLockedState="0" w:defUIPriority="0" w:defSemiHidden="0" w:defUnhideWhenUsed="0" w:defQFormat="0" w:count="375">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A7DD7"/>
    <w:rPr>
      <w:rFonts w:ascii="Arial" w:hAnsi="Arial"/>
      <w:lang w:eastAsia="fr-FR"/>
    </w:rPr>
  </w:style>
  <w:style w:type="paragraph" w:styleId="Titre1">
    <w:name w:val="heading 1"/>
    <w:basedOn w:val="Normal"/>
    <w:next w:val="Normal"/>
    <w:qFormat/>
    <w:rsid w:val="00343AD1"/>
    <w:pPr>
      <w:keepNext/>
      <w:spacing w:before="240" w:after="60"/>
      <w:outlineLvl w:val="0"/>
    </w:pPr>
    <w:rPr>
      <w:rFonts w:cs="Arial"/>
      <w:b/>
      <w:bCs/>
      <w:kern w:val="32"/>
      <w:sz w:val="32"/>
      <w:szCs w:val="32"/>
    </w:rPr>
  </w:style>
  <w:style w:type="paragraph" w:styleId="Titre2">
    <w:name w:val="heading 2"/>
    <w:basedOn w:val="Normal"/>
    <w:next w:val="Normal"/>
    <w:qFormat/>
    <w:rsid w:val="00D477A1"/>
    <w:pPr>
      <w:keepNext/>
      <w:spacing w:before="240" w:after="60"/>
      <w:outlineLvl w:val="1"/>
    </w:pPr>
    <w:rPr>
      <w:rFonts w:cs="Arial"/>
      <w:b/>
      <w:bCs/>
      <w:i/>
      <w:iCs/>
      <w:sz w:val="28"/>
      <w:szCs w:val="28"/>
    </w:rPr>
  </w:style>
  <w:style w:type="paragraph" w:styleId="Titre3">
    <w:name w:val="heading 3"/>
    <w:basedOn w:val="Normal"/>
    <w:next w:val="Normal"/>
    <w:link w:val="Titre3Car"/>
    <w:qFormat/>
    <w:rsid w:val="00343AD1"/>
    <w:pPr>
      <w:keepNext/>
      <w:spacing w:before="240" w:after="60"/>
      <w:outlineLvl w:val="2"/>
    </w:pPr>
    <w:rPr>
      <w:rFonts w:cs="Arial"/>
      <w:b/>
      <w:bCs/>
      <w:sz w:val="26"/>
      <w:szCs w:val="26"/>
    </w:rPr>
  </w:style>
  <w:style w:type="paragraph" w:styleId="Titre4">
    <w:name w:val="heading 4"/>
    <w:basedOn w:val="Normal"/>
    <w:next w:val="Normal"/>
    <w:link w:val="Titre4Car"/>
    <w:qFormat/>
    <w:rsid w:val="00A747B1"/>
    <w:pPr>
      <w:keepNext/>
      <w:spacing w:before="240" w:after="60"/>
      <w:outlineLvl w:val="3"/>
    </w:pPr>
    <w:rPr>
      <w:rFonts w:ascii="Times New Roman" w:hAnsi="Times New Roman"/>
      <w:b/>
      <w:bCs/>
      <w:sz w:val="28"/>
      <w:szCs w:val="28"/>
    </w:rPr>
  </w:style>
  <w:style w:type="paragraph" w:styleId="Titre5">
    <w:name w:val="heading 5"/>
    <w:basedOn w:val="Normal"/>
    <w:next w:val="Normal"/>
    <w:link w:val="Titre5Car"/>
    <w:qFormat/>
    <w:rsid w:val="00AA7DD7"/>
    <w:pPr>
      <w:keepNext/>
      <w:tabs>
        <w:tab w:val="center" w:pos="4536"/>
        <w:tab w:val="center" w:pos="6804"/>
      </w:tabs>
      <w:spacing w:before="120"/>
      <w:jc w:val="both"/>
      <w:outlineLvl w:val="4"/>
    </w:pPr>
    <w:rPr>
      <w:rFonts w:ascii="Times New Roman" w:hAnsi="Times New Roman"/>
      <w:b/>
    </w:rPr>
  </w:style>
  <w:style w:type="paragraph" w:styleId="Titre6">
    <w:name w:val="heading 6"/>
    <w:basedOn w:val="Normal"/>
    <w:next w:val="Normal"/>
    <w:qFormat/>
    <w:rsid w:val="003A69B1"/>
    <w:pPr>
      <w:spacing w:before="240" w:after="60"/>
      <w:outlineLvl w:val="5"/>
    </w:pPr>
    <w:rPr>
      <w:rFonts w:ascii="Times New Roman" w:hAnsi="Times New Roman"/>
      <w:b/>
      <w:bCs/>
      <w:sz w:val="22"/>
      <w:szCs w:val="22"/>
    </w:rPr>
  </w:style>
  <w:style w:type="paragraph" w:styleId="Titre8">
    <w:name w:val="heading 8"/>
    <w:basedOn w:val="Normal"/>
    <w:next w:val="Normal"/>
    <w:qFormat/>
    <w:rsid w:val="00AA7DD7"/>
    <w:pPr>
      <w:keepNext/>
      <w:jc w:val="center"/>
      <w:outlineLvl w:val="7"/>
    </w:pPr>
    <w:rPr>
      <w:rFonts w:ascii="Times New Roman" w:hAnsi="Times New Roman"/>
      <w:b/>
    </w:rPr>
  </w:style>
  <w:style w:type="paragraph" w:styleId="Titre9">
    <w:name w:val="heading 9"/>
    <w:basedOn w:val="Normal"/>
    <w:next w:val="Normal"/>
    <w:link w:val="Titre9Car"/>
    <w:qFormat/>
    <w:rsid w:val="003A69B1"/>
    <w:p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AA7DD7"/>
    <w:pPr>
      <w:tabs>
        <w:tab w:val="center" w:pos="4320"/>
        <w:tab w:val="right" w:pos="8640"/>
      </w:tabs>
    </w:pPr>
  </w:style>
  <w:style w:type="paragraph" w:styleId="Pieddepage">
    <w:name w:val="footer"/>
    <w:basedOn w:val="Normal"/>
    <w:rsid w:val="00AA7DD7"/>
    <w:pPr>
      <w:tabs>
        <w:tab w:val="center" w:pos="4320"/>
        <w:tab w:val="right" w:pos="8640"/>
      </w:tabs>
    </w:pPr>
  </w:style>
  <w:style w:type="paragraph" w:styleId="Retraitcorpsdetexte">
    <w:name w:val="Body Text Indent"/>
    <w:basedOn w:val="Normal"/>
    <w:rsid w:val="00AA7DD7"/>
    <w:pPr>
      <w:tabs>
        <w:tab w:val="right" w:pos="10348"/>
        <w:tab w:val="right" w:pos="11199"/>
      </w:tabs>
      <w:ind w:left="2268"/>
    </w:pPr>
    <w:rPr>
      <w:rFonts w:ascii="R Frutiger Roman" w:eastAsia="Times" w:hAnsi="R Frutiger Roman"/>
      <w:sz w:val="16"/>
      <w:lang w:val="fr-FR"/>
    </w:rPr>
  </w:style>
  <w:style w:type="paragraph" w:styleId="Notedebasdepage">
    <w:name w:val="footnote text"/>
    <w:basedOn w:val="Normal"/>
    <w:link w:val="NotedebasdepageCar"/>
    <w:uiPriority w:val="99"/>
    <w:semiHidden/>
    <w:rsid w:val="00AA7DD7"/>
  </w:style>
  <w:style w:type="character" w:styleId="Appelnotedebasdep">
    <w:name w:val="footnote reference"/>
    <w:basedOn w:val="Policepardfaut"/>
    <w:uiPriority w:val="99"/>
    <w:semiHidden/>
    <w:rsid w:val="00AA7DD7"/>
    <w:rPr>
      <w:vertAlign w:val="superscript"/>
    </w:rPr>
  </w:style>
  <w:style w:type="character" w:styleId="Lienhypertexte">
    <w:name w:val="Hyperlink"/>
    <w:basedOn w:val="Policepardfaut"/>
    <w:rsid w:val="00AA7DD7"/>
    <w:rPr>
      <w:color w:val="0000FF"/>
      <w:u w:val="single"/>
    </w:rPr>
  </w:style>
  <w:style w:type="character" w:styleId="Numrodepage">
    <w:name w:val="page number"/>
    <w:basedOn w:val="Policepardfaut"/>
    <w:rsid w:val="00C57899"/>
  </w:style>
  <w:style w:type="paragraph" w:styleId="Corpsdetexte2">
    <w:name w:val="Body Text 2"/>
    <w:basedOn w:val="Normal"/>
    <w:link w:val="Corpsdetexte2Car"/>
    <w:rsid w:val="00343AD1"/>
    <w:pPr>
      <w:spacing w:after="120" w:line="480" w:lineRule="auto"/>
    </w:pPr>
  </w:style>
  <w:style w:type="paragraph" w:styleId="Corpsdetexte3">
    <w:name w:val="Body Text 3"/>
    <w:basedOn w:val="Normal"/>
    <w:rsid w:val="00343AD1"/>
    <w:pPr>
      <w:spacing w:after="120"/>
    </w:pPr>
    <w:rPr>
      <w:sz w:val="16"/>
      <w:szCs w:val="16"/>
    </w:rPr>
  </w:style>
  <w:style w:type="character" w:styleId="Lienhypertextesuivivisit">
    <w:name w:val="FollowedHyperlink"/>
    <w:basedOn w:val="Policepardfaut"/>
    <w:rsid w:val="003845D1"/>
    <w:rPr>
      <w:color w:val="800080"/>
      <w:u w:val="single"/>
    </w:rPr>
  </w:style>
  <w:style w:type="paragraph" w:styleId="Corpsdetexte">
    <w:name w:val="Body Text"/>
    <w:basedOn w:val="Normal"/>
    <w:link w:val="CorpsdetexteCar"/>
    <w:rsid w:val="003A69B1"/>
    <w:pPr>
      <w:spacing w:after="120"/>
    </w:pPr>
  </w:style>
  <w:style w:type="paragraph" w:styleId="Textedebulles">
    <w:name w:val="Balloon Text"/>
    <w:basedOn w:val="Normal"/>
    <w:semiHidden/>
    <w:rsid w:val="00F37E99"/>
    <w:rPr>
      <w:rFonts w:ascii="Tahoma" w:hAnsi="Tahoma" w:cs="Tahoma"/>
      <w:sz w:val="16"/>
      <w:szCs w:val="16"/>
    </w:rPr>
  </w:style>
  <w:style w:type="paragraph" w:styleId="NormalWeb">
    <w:name w:val="Normal (Web)"/>
    <w:basedOn w:val="Normal"/>
    <w:rsid w:val="00260F99"/>
    <w:pPr>
      <w:spacing w:before="100" w:beforeAutospacing="1" w:after="100" w:afterAutospacing="1"/>
    </w:pPr>
    <w:rPr>
      <w:rFonts w:ascii="Times New Roman" w:hAnsi="Times New Roman"/>
      <w:lang w:val="fr-FR"/>
    </w:rPr>
  </w:style>
  <w:style w:type="character" w:styleId="Accentuation">
    <w:name w:val="Emphasis"/>
    <w:basedOn w:val="Policepardfaut"/>
    <w:qFormat/>
    <w:rsid w:val="00260F99"/>
    <w:rPr>
      <w:i/>
      <w:iCs/>
    </w:rPr>
  </w:style>
  <w:style w:type="paragraph" w:styleId="Retraitcorpsdetexte2">
    <w:name w:val="Body Text Indent 2"/>
    <w:basedOn w:val="Normal"/>
    <w:rsid w:val="00D477A1"/>
    <w:pPr>
      <w:spacing w:after="120" w:line="480" w:lineRule="auto"/>
      <w:ind w:left="283"/>
    </w:pPr>
  </w:style>
  <w:style w:type="character" w:customStyle="1" w:styleId="Corpsdetexte2Car">
    <w:name w:val="Corps de texte 2 Car"/>
    <w:basedOn w:val="Policepardfaut"/>
    <w:link w:val="Corpsdetexte2"/>
    <w:locked/>
    <w:rsid w:val="00C102BC"/>
    <w:rPr>
      <w:rFonts w:ascii="Arial" w:hAnsi="Arial"/>
      <w:lang w:eastAsia="fr-FR"/>
    </w:rPr>
  </w:style>
  <w:style w:type="character" w:customStyle="1" w:styleId="Titre4Car">
    <w:name w:val="Titre 4 Car"/>
    <w:basedOn w:val="Policepardfaut"/>
    <w:link w:val="Titre4"/>
    <w:rsid w:val="00A747B1"/>
    <w:rPr>
      <w:b/>
      <w:bCs/>
      <w:sz w:val="28"/>
      <w:szCs w:val="28"/>
      <w:lang w:eastAsia="fr-FR"/>
    </w:rPr>
  </w:style>
  <w:style w:type="character" w:customStyle="1" w:styleId="Titre5Car">
    <w:name w:val="Titre 5 Car"/>
    <w:basedOn w:val="Policepardfaut"/>
    <w:link w:val="Titre5"/>
    <w:locked/>
    <w:rsid w:val="00EA02AB"/>
    <w:rPr>
      <w:b/>
      <w:lang w:eastAsia="fr-FR"/>
    </w:rPr>
  </w:style>
  <w:style w:type="paragraph" w:styleId="Paragraphedeliste">
    <w:name w:val="List Paragraph"/>
    <w:basedOn w:val="Normal"/>
    <w:uiPriority w:val="34"/>
    <w:qFormat/>
    <w:rsid w:val="00061906"/>
    <w:pPr>
      <w:ind w:left="720"/>
      <w:contextualSpacing/>
    </w:pPr>
  </w:style>
  <w:style w:type="character" w:customStyle="1" w:styleId="Titre3Car">
    <w:name w:val="Titre 3 Car"/>
    <w:basedOn w:val="Policepardfaut"/>
    <w:link w:val="Titre3"/>
    <w:uiPriority w:val="9"/>
    <w:rsid w:val="000E7CF3"/>
    <w:rPr>
      <w:rFonts w:ascii="Arial" w:hAnsi="Arial" w:cs="Arial"/>
      <w:b/>
      <w:bCs/>
      <w:sz w:val="26"/>
      <w:szCs w:val="26"/>
      <w:lang w:eastAsia="fr-FR"/>
    </w:rPr>
  </w:style>
  <w:style w:type="character" w:customStyle="1" w:styleId="Titre9Car">
    <w:name w:val="Titre 9 Car"/>
    <w:basedOn w:val="Policepardfaut"/>
    <w:link w:val="Titre9"/>
    <w:uiPriority w:val="9"/>
    <w:rsid w:val="000E7CF3"/>
    <w:rPr>
      <w:rFonts w:ascii="Arial" w:hAnsi="Arial" w:cs="Arial"/>
      <w:sz w:val="22"/>
      <w:szCs w:val="22"/>
      <w:lang w:eastAsia="fr-FR"/>
    </w:rPr>
  </w:style>
  <w:style w:type="paragraph" w:customStyle="1" w:styleId="Default">
    <w:name w:val="Default"/>
    <w:rsid w:val="005D7BBC"/>
    <w:pPr>
      <w:autoSpaceDE w:val="0"/>
      <w:autoSpaceDN w:val="0"/>
      <w:adjustRightInd w:val="0"/>
    </w:pPr>
    <w:rPr>
      <w:rFonts w:ascii="Arial" w:hAnsi="Arial" w:cs="Arial"/>
      <w:color w:val="000000"/>
      <w:lang w:val="en-CA"/>
    </w:rPr>
  </w:style>
  <w:style w:type="character" w:customStyle="1" w:styleId="NotedebasdepageCar">
    <w:name w:val="Note de bas de page Car"/>
    <w:basedOn w:val="Policepardfaut"/>
    <w:link w:val="Notedebasdepage"/>
    <w:uiPriority w:val="99"/>
    <w:semiHidden/>
    <w:locked/>
    <w:rsid w:val="00756110"/>
    <w:rPr>
      <w:rFonts w:ascii="Arial" w:hAnsi="Arial"/>
      <w:lang w:eastAsia="fr-FR"/>
    </w:rPr>
  </w:style>
  <w:style w:type="paragraph" w:styleId="Textebrut">
    <w:name w:val="Plain Text"/>
    <w:basedOn w:val="Normal"/>
    <w:link w:val="TextebrutCar"/>
    <w:rsid w:val="00555CF7"/>
    <w:rPr>
      <w:rFonts w:ascii="Courier New" w:hAnsi="Courier New"/>
      <w:lang w:eastAsia="en-US"/>
    </w:rPr>
  </w:style>
  <w:style w:type="character" w:customStyle="1" w:styleId="TextebrutCar">
    <w:name w:val="Texte brut Car"/>
    <w:basedOn w:val="Policepardfaut"/>
    <w:link w:val="Textebrut"/>
    <w:rsid w:val="00555CF7"/>
    <w:rPr>
      <w:rFonts w:ascii="Courier New" w:hAnsi="Courier New"/>
      <w:lang w:eastAsia="en-US"/>
    </w:rPr>
  </w:style>
  <w:style w:type="character" w:customStyle="1" w:styleId="CorpsdetexteCar">
    <w:name w:val="Corps de texte Car"/>
    <w:basedOn w:val="Policepardfaut"/>
    <w:link w:val="Corpsdetexte"/>
    <w:rsid w:val="009E432A"/>
    <w:rPr>
      <w:rFonts w:ascii="Arial" w:hAnsi="Arial"/>
      <w:lang w:eastAsia="fr-FR"/>
    </w:rPr>
  </w:style>
  <w:style w:type="paragraph" w:customStyle="1" w:styleId="WW-Default">
    <w:name w:val="WW-Default"/>
    <w:rsid w:val="009E432A"/>
    <w:pPr>
      <w:suppressAutoHyphens/>
      <w:autoSpaceDE w:val="0"/>
    </w:pPr>
    <w:rPr>
      <w:rFonts w:ascii="Arial" w:eastAsia="Arial" w:hAnsi="Arial" w:cs="Arial"/>
      <w:color w:val="000000"/>
      <w:lang w:val="en-U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0894751">
      <w:bodyDiv w:val="1"/>
      <w:marLeft w:val="0"/>
      <w:marRight w:val="0"/>
      <w:marTop w:val="0"/>
      <w:marBottom w:val="0"/>
      <w:divBdr>
        <w:top w:val="none" w:sz="0" w:space="0" w:color="auto"/>
        <w:left w:val="none" w:sz="0" w:space="0" w:color="auto"/>
        <w:bottom w:val="none" w:sz="0" w:space="0" w:color="auto"/>
        <w:right w:val="none" w:sz="0" w:space="0" w:color="auto"/>
      </w:divBdr>
      <w:divsChild>
        <w:div w:id="1310553096">
          <w:marLeft w:val="0"/>
          <w:marRight w:val="0"/>
          <w:marTop w:val="0"/>
          <w:marBottom w:val="0"/>
          <w:divBdr>
            <w:top w:val="none" w:sz="0" w:space="0" w:color="auto"/>
            <w:left w:val="none" w:sz="0" w:space="0" w:color="auto"/>
            <w:bottom w:val="none" w:sz="0" w:space="0" w:color="auto"/>
            <w:right w:val="none" w:sz="0" w:space="0" w:color="auto"/>
          </w:divBdr>
          <w:divsChild>
            <w:div w:id="2085295875">
              <w:marLeft w:val="0"/>
              <w:marRight w:val="0"/>
              <w:marTop w:val="0"/>
              <w:marBottom w:val="0"/>
              <w:divBdr>
                <w:top w:val="none" w:sz="0" w:space="0" w:color="auto"/>
                <w:left w:val="none" w:sz="0" w:space="0" w:color="auto"/>
                <w:bottom w:val="none" w:sz="0" w:space="0" w:color="auto"/>
                <w:right w:val="none" w:sz="0" w:space="0" w:color="auto"/>
              </w:divBdr>
              <w:divsChild>
                <w:div w:id="2002348700">
                  <w:marLeft w:val="0"/>
                  <w:marRight w:val="0"/>
                  <w:marTop w:val="0"/>
                  <w:marBottom w:val="0"/>
                  <w:divBdr>
                    <w:top w:val="none" w:sz="0" w:space="0" w:color="auto"/>
                    <w:left w:val="none" w:sz="0" w:space="0" w:color="auto"/>
                    <w:bottom w:val="none" w:sz="0" w:space="0" w:color="auto"/>
                    <w:right w:val="none" w:sz="0" w:space="0" w:color="auto"/>
                  </w:divBdr>
                  <w:divsChild>
                    <w:div w:id="1263104808">
                      <w:marLeft w:val="0"/>
                      <w:marRight w:val="0"/>
                      <w:marTop w:val="0"/>
                      <w:marBottom w:val="0"/>
                      <w:divBdr>
                        <w:top w:val="none" w:sz="0" w:space="0" w:color="auto"/>
                        <w:left w:val="none" w:sz="0" w:space="0" w:color="auto"/>
                        <w:bottom w:val="none" w:sz="0" w:space="0" w:color="auto"/>
                        <w:right w:val="none" w:sz="0" w:space="0" w:color="auto"/>
                      </w:divBdr>
                      <w:divsChild>
                        <w:div w:id="2009164062">
                          <w:marLeft w:val="0"/>
                          <w:marRight w:val="0"/>
                          <w:marTop w:val="0"/>
                          <w:marBottom w:val="0"/>
                          <w:divBdr>
                            <w:top w:val="none" w:sz="0" w:space="0" w:color="auto"/>
                            <w:left w:val="none" w:sz="0" w:space="0" w:color="auto"/>
                            <w:bottom w:val="none" w:sz="0" w:space="0" w:color="auto"/>
                            <w:right w:val="none" w:sz="0" w:space="0" w:color="auto"/>
                          </w:divBdr>
                          <w:divsChild>
                            <w:div w:id="1857428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1588517">
      <w:bodyDiv w:val="1"/>
      <w:marLeft w:val="0"/>
      <w:marRight w:val="0"/>
      <w:marTop w:val="0"/>
      <w:marBottom w:val="0"/>
      <w:divBdr>
        <w:top w:val="none" w:sz="0" w:space="0" w:color="auto"/>
        <w:left w:val="none" w:sz="0" w:space="0" w:color="auto"/>
        <w:bottom w:val="none" w:sz="0" w:space="0" w:color="auto"/>
        <w:right w:val="none" w:sz="0" w:space="0" w:color="auto"/>
      </w:divBdr>
    </w:div>
    <w:div w:id="579143494">
      <w:bodyDiv w:val="1"/>
      <w:marLeft w:val="0"/>
      <w:marRight w:val="0"/>
      <w:marTop w:val="0"/>
      <w:marBottom w:val="0"/>
      <w:divBdr>
        <w:top w:val="none" w:sz="0" w:space="0" w:color="auto"/>
        <w:left w:val="none" w:sz="0" w:space="0" w:color="auto"/>
        <w:bottom w:val="none" w:sz="0" w:space="0" w:color="auto"/>
        <w:right w:val="none" w:sz="0" w:space="0" w:color="auto"/>
      </w:divBdr>
    </w:div>
    <w:div w:id="765928632">
      <w:bodyDiv w:val="1"/>
      <w:marLeft w:val="0"/>
      <w:marRight w:val="0"/>
      <w:marTop w:val="0"/>
      <w:marBottom w:val="0"/>
      <w:divBdr>
        <w:top w:val="none" w:sz="0" w:space="0" w:color="auto"/>
        <w:left w:val="none" w:sz="0" w:space="0" w:color="auto"/>
        <w:bottom w:val="none" w:sz="0" w:space="0" w:color="auto"/>
        <w:right w:val="none" w:sz="0" w:space="0" w:color="auto"/>
      </w:divBdr>
    </w:div>
    <w:div w:id="812063337">
      <w:bodyDiv w:val="1"/>
      <w:marLeft w:val="0"/>
      <w:marRight w:val="0"/>
      <w:marTop w:val="0"/>
      <w:marBottom w:val="0"/>
      <w:divBdr>
        <w:top w:val="none" w:sz="0" w:space="0" w:color="auto"/>
        <w:left w:val="none" w:sz="0" w:space="0" w:color="auto"/>
        <w:bottom w:val="none" w:sz="0" w:space="0" w:color="auto"/>
        <w:right w:val="none" w:sz="0" w:space="0" w:color="auto"/>
      </w:divBdr>
    </w:div>
    <w:div w:id="1159731013">
      <w:bodyDiv w:val="1"/>
      <w:marLeft w:val="0"/>
      <w:marRight w:val="0"/>
      <w:marTop w:val="0"/>
      <w:marBottom w:val="0"/>
      <w:divBdr>
        <w:top w:val="none" w:sz="0" w:space="0" w:color="auto"/>
        <w:left w:val="none" w:sz="0" w:space="0" w:color="auto"/>
        <w:bottom w:val="none" w:sz="0" w:space="0" w:color="auto"/>
        <w:right w:val="none" w:sz="0" w:space="0" w:color="auto"/>
      </w:divBdr>
      <w:divsChild>
        <w:div w:id="1422410582">
          <w:marLeft w:val="0"/>
          <w:marRight w:val="0"/>
          <w:marTop w:val="0"/>
          <w:marBottom w:val="0"/>
          <w:divBdr>
            <w:top w:val="none" w:sz="0" w:space="0" w:color="auto"/>
            <w:left w:val="none" w:sz="0" w:space="0" w:color="auto"/>
            <w:bottom w:val="none" w:sz="0" w:space="0" w:color="auto"/>
            <w:right w:val="none" w:sz="0" w:space="0" w:color="auto"/>
          </w:divBdr>
          <w:divsChild>
            <w:div w:id="198469685">
              <w:marLeft w:val="0"/>
              <w:marRight w:val="0"/>
              <w:marTop w:val="0"/>
              <w:marBottom w:val="0"/>
              <w:divBdr>
                <w:top w:val="none" w:sz="0" w:space="0" w:color="auto"/>
                <w:left w:val="none" w:sz="0" w:space="0" w:color="auto"/>
                <w:bottom w:val="none" w:sz="0" w:space="0" w:color="auto"/>
                <w:right w:val="none" w:sz="0" w:space="0" w:color="auto"/>
              </w:divBdr>
              <w:divsChild>
                <w:div w:id="1034889763">
                  <w:marLeft w:val="0"/>
                  <w:marRight w:val="0"/>
                  <w:marTop w:val="0"/>
                  <w:marBottom w:val="0"/>
                  <w:divBdr>
                    <w:top w:val="none" w:sz="0" w:space="0" w:color="auto"/>
                    <w:left w:val="none" w:sz="0" w:space="0" w:color="auto"/>
                    <w:bottom w:val="none" w:sz="0" w:space="0" w:color="auto"/>
                    <w:right w:val="none" w:sz="0" w:space="0" w:color="auto"/>
                  </w:divBdr>
                  <w:divsChild>
                    <w:div w:id="757679931">
                      <w:marLeft w:val="0"/>
                      <w:marRight w:val="0"/>
                      <w:marTop w:val="0"/>
                      <w:marBottom w:val="0"/>
                      <w:divBdr>
                        <w:top w:val="none" w:sz="0" w:space="0" w:color="auto"/>
                        <w:left w:val="none" w:sz="0" w:space="0" w:color="auto"/>
                        <w:bottom w:val="none" w:sz="0" w:space="0" w:color="auto"/>
                        <w:right w:val="none" w:sz="0" w:space="0" w:color="auto"/>
                      </w:divBdr>
                      <w:divsChild>
                        <w:div w:id="379018554">
                          <w:marLeft w:val="0"/>
                          <w:marRight w:val="0"/>
                          <w:marTop w:val="0"/>
                          <w:marBottom w:val="0"/>
                          <w:divBdr>
                            <w:top w:val="none" w:sz="0" w:space="0" w:color="auto"/>
                            <w:left w:val="none" w:sz="0" w:space="0" w:color="auto"/>
                            <w:bottom w:val="none" w:sz="0" w:space="0" w:color="auto"/>
                            <w:right w:val="none" w:sz="0" w:space="0" w:color="auto"/>
                          </w:divBdr>
                          <w:divsChild>
                            <w:div w:id="228273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2551837">
      <w:bodyDiv w:val="1"/>
      <w:marLeft w:val="0"/>
      <w:marRight w:val="0"/>
      <w:marTop w:val="0"/>
      <w:marBottom w:val="0"/>
      <w:divBdr>
        <w:top w:val="none" w:sz="0" w:space="0" w:color="auto"/>
        <w:left w:val="none" w:sz="0" w:space="0" w:color="auto"/>
        <w:bottom w:val="none" w:sz="0" w:space="0" w:color="auto"/>
        <w:right w:val="none" w:sz="0" w:space="0" w:color="auto"/>
      </w:divBdr>
      <w:divsChild>
        <w:div w:id="2009477342">
          <w:marLeft w:val="0"/>
          <w:marRight w:val="0"/>
          <w:marTop w:val="0"/>
          <w:marBottom w:val="0"/>
          <w:divBdr>
            <w:top w:val="none" w:sz="0" w:space="0" w:color="auto"/>
            <w:left w:val="none" w:sz="0" w:space="0" w:color="auto"/>
            <w:bottom w:val="none" w:sz="0" w:space="0" w:color="auto"/>
            <w:right w:val="none" w:sz="0" w:space="0" w:color="auto"/>
          </w:divBdr>
          <w:divsChild>
            <w:div w:id="418791275">
              <w:marLeft w:val="0"/>
              <w:marRight w:val="0"/>
              <w:marTop w:val="0"/>
              <w:marBottom w:val="0"/>
              <w:divBdr>
                <w:top w:val="none" w:sz="0" w:space="0" w:color="auto"/>
                <w:left w:val="none" w:sz="0" w:space="0" w:color="auto"/>
                <w:bottom w:val="none" w:sz="0" w:space="0" w:color="auto"/>
                <w:right w:val="none" w:sz="0" w:space="0" w:color="auto"/>
              </w:divBdr>
              <w:divsChild>
                <w:div w:id="587807358">
                  <w:marLeft w:val="0"/>
                  <w:marRight w:val="0"/>
                  <w:marTop w:val="0"/>
                  <w:marBottom w:val="0"/>
                  <w:divBdr>
                    <w:top w:val="none" w:sz="0" w:space="0" w:color="auto"/>
                    <w:left w:val="none" w:sz="0" w:space="0" w:color="auto"/>
                    <w:bottom w:val="none" w:sz="0" w:space="0" w:color="auto"/>
                    <w:right w:val="none" w:sz="0" w:space="0" w:color="auto"/>
                  </w:divBdr>
                  <w:divsChild>
                    <w:div w:id="38670922">
                      <w:marLeft w:val="0"/>
                      <w:marRight w:val="0"/>
                      <w:marTop w:val="0"/>
                      <w:marBottom w:val="0"/>
                      <w:divBdr>
                        <w:top w:val="none" w:sz="0" w:space="0" w:color="auto"/>
                        <w:left w:val="none" w:sz="0" w:space="0" w:color="auto"/>
                        <w:bottom w:val="none" w:sz="0" w:space="0" w:color="auto"/>
                        <w:right w:val="none" w:sz="0" w:space="0" w:color="auto"/>
                      </w:divBdr>
                      <w:divsChild>
                        <w:div w:id="1293364831">
                          <w:marLeft w:val="0"/>
                          <w:marRight w:val="0"/>
                          <w:marTop w:val="0"/>
                          <w:marBottom w:val="0"/>
                          <w:divBdr>
                            <w:top w:val="none" w:sz="0" w:space="0" w:color="auto"/>
                            <w:left w:val="none" w:sz="0" w:space="0" w:color="auto"/>
                            <w:bottom w:val="none" w:sz="0" w:space="0" w:color="auto"/>
                            <w:right w:val="none" w:sz="0" w:space="0" w:color="auto"/>
                          </w:divBdr>
                          <w:divsChild>
                            <w:div w:id="161821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8193266">
      <w:bodyDiv w:val="1"/>
      <w:marLeft w:val="0"/>
      <w:marRight w:val="0"/>
      <w:marTop w:val="0"/>
      <w:marBottom w:val="0"/>
      <w:divBdr>
        <w:top w:val="none" w:sz="0" w:space="0" w:color="auto"/>
        <w:left w:val="none" w:sz="0" w:space="0" w:color="auto"/>
        <w:bottom w:val="none" w:sz="0" w:space="0" w:color="auto"/>
        <w:right w:val="none" w:sz="0" w:space="0" w:color="auto"/>
      </w:divBdr>
      <w:divsChild>
        <w:div w:id="721103140">
          <w:marLeft w:val="0"/>
          <w:marRight w:val="0"/>
          <w:marTop w:val="0"/>
          <w:marBottom w:val="0"/>
          <w:divBdr>
            <w:top w:val="none" w:sz="0" w:space="0" w:color="auto"/>
            <w:left w:val="none" w:sz="0" w:space="0" w:color="auto"/>
            <w:bottom w:val="none" w:sz="0" w:space="0" w:color="auto"/>
            <w:right w:val="none" w:sz="0" w:space="0" w:color="auto"/>
          </w:divBdr>
          <w:divsChild>
            <w:div w:id="2073774510">
              <w:marLeft w:val="0"/>
              <w:marRight w:val="0"/>
              <w:marTop w:val="0"/>
              <w:marBottom w:val="0"/>
              <w:divBdr>
                <w:top w:val="none" w:sz="0" w:space="0" w:color="auto"/>
                <w:left w:val="none" w:sz="0" w:space="0" w:color="auto"/>
                <w:bottom w:val="none" w:sz="0" w:space="0" w:color="auto"/>
                <w:right w:val="none" w:sz="0" w:space="0" w:color="auto"/>
              </w:divBdr>
              <w:divsChild>
                <w:div w:id="1487624825">
                  <w:marLeft w:val="0"/>
                  <w:marRight w:val="0"/>
                  <w:marTop w:val="0"/>
                  <w:marBottom w:val="0"/>
                  <w:divBdr>
                    <w:top w:val="none" w:sz="0" w:space="0" w:color="auto"/>
                    <w:left w:val="none" w:sz="0" w:space="0" w:color="auto"/>
                    <w:bottom w:val="none" w:sz="0" w:space="0" w:color="auto"/>
                    <w:right w:val="none" w:sz="0" w:space="0" w:color="auto"/>
                  </w:divBdr>
                  <w:divsChild>
                    <w:div w:id="1598638754">
                      <w:marLeft w:val="0"/>
                      <w:marRight w:val="0"/>
                      <w:marTop w:val="0"/>
                      <w:marBottom w:val="0"/>
                      <w:divBdr>
                        <w:top w:val="none" w:sz="0" w:space="0" w:color="auto"/>
                        <w:left w:val="none" w:sz="0" w:space="0" w:color="auto"/>
                        <w:bottom w:val="none" w:sz="0" w:space="0" w:color="auto"/>
                        <w:right w:val="none" w:sz="0" w:space="0" w:color="auto"/>
                      </w:divBdr>
                      <w:divsChild>
                        <w:div w:id="180780513">
                          <w:marLeft w:val="0"/>
                          <w:marRight w:val="0"/>
                          <w:marTop w:val="0"/>
                          <w:marBottom w:val="0"/>
                          <w:divBdr>
                            <w:top w:val="none" w:sz="0" w:space="0" w:color="auto"/>
                            <w:left w:val="none" w:sz="0" w:space="0" w:color="auto"/>
                            <w:bottom w:val="none" w:sz="0" w:space="0" w:color="auto"/>
                            <w:right w:val="none" w:sz="0" w:space="0" w:color="auto"/>
                          </w:divBdr>
                          <w:divsChild>
                            <w:div w:id="211104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0231876">
      <w:bodyDiv w:val="1"/>
      <w:marLeft w:val="0"/>
      <w:marRight w:val="0"/>
      <w:marTop w:val="0"/>
      <w:marBottom w:val="0"/>
      <w:divBdr>
        <w:top w:val="none" w:sz="0" w:space="0" w:color="auto"/>
        <w:left w:val="none" w:sz="0" w:space="0" w:color="auto"/>
        <w:bottom w:val="none" w:sz="0" w:space="0" w:color="auto"/>
        <w:right w:val="none" w:sz="0" w:space="0" w:color="auto"/>
      </w:divBdr>
    </w:div>
    <w:div w:id="2044019140">
      <w:bodyDiv w:val="1"/>
      <w:marLeft w:val="0"/>
      <w:marRight w:val="0"/>
      <w:marTop w:val="0"/>
      <w:marBottom w:val="0"/>
      <w:divBdr>
        <w:top w:val="none" w:sz="0" w:space="0" w:color="auto"/>
        <w:left w:val="none" w:sz="0" w:space="0" w:color="auto"/>
        <w:bottom w:val="none" w:sz="0" w:space="0" w:color="auto"/>
        <w:right w:val="none" w:sz="0" w:space="0" w:color="auto"/>
      </w:divBdr>
      <w:divsChild>
        <w:div w:id="1478767166">
          <w:marLeft w:val="0"/>
          <w:marRight w:val="0"/>
          <w:marTop w:val="0"/>
          <w:marBottom w:val="0"/>
          <w:divBdr>
            <w:top w:val="none" w:sz="0" w:space="0" w:color="auto"/>
            <w:left w:val="none" w:sz="0" w:space="0" w:color="auto"/>
            <w:bottom w:val="none" w:sz="0" w:space="0" w:color="auto"/>
            <w:right w:val="none" w:sz="0" w:space="0" w:color="auto"/>
          </w:divBdr>
          <w:divsChild>
            <w:div w:id="1612399346">
              <w:marLeft w:val="0"/>
              <w:marRight w:val="0"/>
              <w:marTop w:val="0"/>
              <w:marBottom w:val="0"/>
              <w:divBdr>
                <w:top w:val="none" w:sz="0" w:space="0" w:color="auto"/>
                <w:left w:val="none" w:sz="0" w:space="0" w:color="auto"/>
                <w:bottom w:val="none" w:sz="0" w:space="0" w:color="auto"/>
                <w:right w:val="none" w:sz="0" w:space="0" w:color="auto"/>
              </w:divBdr>
              <w:divsChild>
                <w:div w:id="1855416970">
                  <w:marLeft w:val="0"/>
                  <w:marRight w:val="0"/>
                  <w:marTop w:val="0"/>
                  <w:marBottom w:val="0"/>
                  <w:divBdr>
                    <w:top w:val="none" w:sz="0" w:space="0" w:color="auto"/>
                    <w:left w:val="none" w:sz="0" w:space="0" w:color="auto"/>
                    <w:bottom w:val="none" w:sz="0" w:space="0" w:color="auto"/>
                    <w:right w:val="none" w:sz="0" w:space="0" w:color="auto"/>
                  </w:divBdr>
                  <w:divsChild>
                    <w:div w:id="1679574794">
                      <w:marLeft w:val="0"/>
                      <w:marRight w:val="0"/>
                      <w:marTop w:val="0"/>
                      <w:marBottom w:val="0"/>
                      <w:divBdr>
                        <w:top w:val="none" w:sz="0" w:space="0" w:color="auto"/>
                        <w:left w:val="none" w:sz="0" w:space="0" w:color="auto"/>
                        <w:bottom w:val="none" w:sz="0" w:space="0" w:color="auto"/>
                        <w:right w:val="none" w:sz="0" w:space="0" w:color="auto"/>
                      </w:divBdr>
                      <w:divsChild>
                        <w:div w:id="155462835">
                          <w:marLeft w:val="0"/>
                          <w:marRight w:val="0"/>
                          <w:marTop w:val="0"/>
                          <w:marBottom w:val="0"/>
                          <w:divBdr>
                            <w:top w:val="none" w:sz="0" w:space="0" w:color="auto"/>
                            <w:left w:val="none" w:sz="0" w:space="0" w:color="auto"/>
                            <w:bottom w:val="none" w:sz="0" w:space="0" w:color="auto"/>
                            <w:right w:val="none" w:sz="0" w:space="0" w:color="auto"/>
                          </w:divBdr>
                          <w:divsChild>
                            <w:div w:id="688261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ne.garcia@umontreal.ca"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hyperlink" Target="http://www.integrite.umontreal.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eco.umontreal.ca/ressources-services/ressources-formulaires/"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ceco.umontreal.ca/accueil/" TargetMode="External"/><Relationship Id="rId4" Type="http://schemas.openxmlformats.org/officeDocument/2006/relationships/webSettings" Target="webSettings.xml"/><Relationship Id="rId9" Type="http://schemas.openxmlformats.org/officeDocument/2006/relationships/hyperlink" Target="http://fas.umontreal.ca/fileadmin/Documents/FAS/fas/Documents/Calendrier/Calendrier_2016-2017.pdf" TargetMode="Externa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1275</Words>
  <Characters>7013</Characters>
  <Application>Microsoft Office Word</Application>
  <DocSecurity>0</DocSecurity>
  <Lines>58</Lines>
  <Paragraphs>16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lpstr>
    </vt:vector>
  </TitlesOfParts>
  <Company>Universite de Montreal</Company>
  <LinksUpToDate>false</LinksUpToDate>
  <CharactersWithSpaces>8272</CharactersWithSpaces>
  <SharedDoc>false</SharedDoc>
  <HLinks>
    <vt:vector size="30" baseType="variant">
      <vt:variant>
        <vt:i4>7733292</vt:i4>
      </vt:variant>
      <vt:variant>
        <vt:i4>12</vt:i4>
      </vt:variant>
      <vt:variant>
        <vt:i4>0</vt:i4>
      </vt:variant>
      <vt:variant>
        <vt:i4>5</vt:i4>
      </vt:variant>
      <vt:variant>
        <vt:lpwstr>http://www.integrite.umontreal.ca/</vt:lpwstr>
      </vt:variant>
      <vt:variant>
        <vt:lpwstr/>
      </vt:variant>
      <vt:variant>
        <vt:i4>5308424</vt:i4>
      </vt:variant>
      <vt:variant>
        <vt:i4>9</vt:i4>
      </vt:variant>
      <vt:variant>
        <vt:i4>0</vt:i4>
      </vt:variant>
      <vt:variant>
        <vt:i4>5</vt:i4>
      </vt:variant>
      <vt:variant>
        <vt:lpwstr>http://www.sceco.umontreal.ca/files/GuideTravaux.pdf</vt:lpwstr>
      </vt:variant>
      <vt:variant>
        <vt:lpwstr/>
      </vt:variant>
      <vt:variant>
        <vt:i4>5636162</vt:i4>
      </vt:variant>
      <vt:variant>
        <vt:i4>6</vt:i4>
      </vt:variant>
      <vt:variant>
        <vt:i4>0</vt:i4>
      </vt:variant>
      <vt:variant>
        <vt:i4>5</vt:i4>
      </vt:variant>
      <vt:variant>
        <vt:lpwstr>http://www.coursenligne.umontreal.ca/</vt:lpwstr>
      </vt:variant>
      <vt:variant>
        <vt:lpwstr/>
      </vt:variant>
      <vt:variant>
        <vt:i4>7929889</vt:i4>
      </vt:variant>
      <vt:variant>
        <vt:i4>3</vt:i4>
      </vt:variant>
      <vt:variant>
        <vt:i4>0</vt:i4>
      </vt:variant>
      <vt:variant>
        <vt:i4>5</vt:i4>
      </vt:variant>
      <vt:variant>
        <vt:lpwstr>http://www.sceco.umontreal.ca/</vt:lpwstr>
      </vt:variant>
      <vt:variant>
        <vt:lpwstr/>
      </vt:variant>
      <vt:variant>
        <vt:i4>2555993</vt:i4>
      </vt:variant>
      <vt:variant>
        <vt:i4>0</vt:i4>
      </vt:variant>
      <vt:variant>
        <vt:i4>0</vt:i4>
      </vt:variant>
      <vt:variant>
        <vt:i4>5</vt:i4>
      </vt:variant>
      <vt:variant>
        <vt:lpwstr>mailto:methamem.raouchen@gmail.com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Johanne Plante</dc:creator>
  <cp:lastModifiedBy>Garcia René</cp:lastModifiedBy>
  <cp:revision>2</cp:revision>
  <cp:lastPrinted>2013-11-26T18:40:00Z</cp:lastPrinted>
  <dcterms:created xsi:type="dcterms:W3CDTF">2019-10-29T16:44:00Z</dcterms:created>
  <dcterms:modified xsi:type="dcterms:W3CDTF">2019-10-29T16:44:00Z</dcterms:modified>
</cp:coreProperties>
</file>